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2986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use by a religious organization of public school or institution of higher education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11, Education Code, is amended by adding Section 11.173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11.173.</w:t>
      </w:r>
      <w:r>
        <w:rPr>
          <w:u w:val="single"/>
        </w:rPr>
        <w:t xml:space="preserve"> </w:t>
      </w:r>
      <w:r>
        <w:rPr>
          <w:u w:val="single"/>
        </w:rPr>
        <w:t xml:space="preserve"> </w:t>
      </w:r>
      <w:r>
        <w:rPr>
          <w:u w:val="single"/>
        </w:rPr>
        <w:t xml:space="preserve">USE OF SCHOOL FACILITIES BY RELIGIOUS ORGANIZATION.  (a)  A school district or open-enrollment charter school may allow a religious organization to use the district's or school's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district's or school's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religious organization's use of a school district's or open-enrollment charter school's facilities interferes with the district's or school's primary educational mission for purposes of Subsection (a)(1)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engages in an activity described by Subsection (a) during regular school hours;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organization displays signage, symbols, books, or flyers on the district's or school's property during any period other than the period in which the district or school allows the organization to use the district's or school's facilities;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district or school or an employee of the district or school promotes the organization's use of the facilities in any manner, including by distributing information or making an announcement regarding the organization or use or including an activity described by Subsection (a) on an academic calendar.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political subdivision, school district, or other governmental entity may not impose a penalty or sanction on or deny funding to a school district or open-enrollment charter school based on the district's or school's decision to allow a religious organization to use the district's or school's facilities in the manner provided by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require a school district or open-enrollment charter school to allow a religious organization to use the district's or school's facilities for religious purposes if the district or school elects not to do so.</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51.984.</w:t>
      </w:r>
      <w:r>
        <w:rPr>
          <w:u w:val="single"/>
        </w:rPr>
        <w:t xml:space="preserve"> </w:t>
      </w:r>
      <w:r>
        <w:rPr>
          <w:u w:val="single"/>
        </w:rPr>
        <w:t xml:space="preserve"> </w:t>
      </w:r>
      <w:r>
        <w:rPr>
          <w:u w:val="single"/>
        </w:rPr>
        <w:t xml:space="preserve">USE OF INSTITUTION FACILITIES BY RELIGIOUS ORGANIZATION.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allow a religious organization to use the institution's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institution's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institution or the institution's governing board, unless waived by the institution or the institution's governing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political subdivision, or other governmental entity may not impose a penalty or sanction on or deny funding to an institution of higher education based on the institution's decision to allow a religious organization to use the institution's facilities in the manner provided by Subsection (b).</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require an institution of higher education to allow a religious organization to use the institution's facilities for religious purposes if the institution elects not to do so.</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2986 passed the Senate on April</w:t>
      </w:r>
      <w:r xml:space="preserve">
        <w:t> </w:t>
      </w:r>
      <w:r>
        <w:t xml:space="preserve">30,</w:t>
      </w:r>
      <w:r xml:space="preserve">
        <w:t> </w:t>
      </w:r>
      <w:r>
        <w:t xml:space="preserve">2025, by the following vote:  Yeas</w:t>
      </w:r>
      <w:r xml:space="preserve">
        <w:t> </w:t>
      </w:r>
      <w:r>
        <w:t xml:space="preserve">30, Nays</w:t>
      </w:r>
      <w:r xml:space="preserve">
        <w:t> </w:t>
      </w:r>
      <w:r>
        <w:t xml:space="preserve">1; and that the Senate concurred in House amendment on May</w:t>
      </w:r>
      <w:r xml:space="preserve">
        <w:t> </w:t>
      </w:r>
      <w:r>
        <w:t xml:space="preserve">30,</w:t>
      </w:r>
      <w:r xml:space="preserve">
        <w:t> </w:t>
      </w:r>
      <w:r>
        <w:t xml:space="preserve">2025, by the following vote:  Yeas</w:t>
      </w:r>
      <w:r xml:space="preserve">
        <w:t> </w:t>
      </w:r>
      <w:r>
        <w:t xml:space="preserve">26, Nays</w:t>
      </w:r>
      <w:r xml:space="preserve">
        <w:t> </w:t>
      </w:r>
      <w:r>
        <w:t xml:space="preserve">5.</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2986 passed the House, with amendment, on May</w:t>
      </w:r>
      <w:r xml:space="preserve">
        <w:t> </w:t>
      </w:r>
      <w:r>
        <w:t xml:space="preserve">28,</w:t>
      </w:r>
      <w:r xml:space="preserve">
        <w:t> </w:t>
      </w:r>
      <w:r>
        <w:t xml:space="preserve">2025, by the following vote:  Yeas</w:t>
      </w:r>
      <w:r xml:space="preserve">
        <w:t> </w:t>
      </w:r>
      <w:r>
        <w:t xml:space="preserve">130, Nays</w:t>
      </w:r>
      <w:r xml:space="preserve">
        <w:t> </w:t>
      </w:r>
      <w:r>
        <w:t xml:space="preserve">9,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