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89R24515 JTZ-F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3053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powers and duties and validating certain acts and proceedings of the Hunter Ranch Improvement District No. 1 of Denton County,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3980.0503, Special District Local Laws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principal amount of bonds </w:t>
      </w:r>
      <w:r>
        <w:rPr>
          <w:u w:val="single"/>
        </w:rPr>
        <w:t xml:space="preserve">secured by ad valorem taxes</w:t>
      </w:r>
      <w:r>
        <w:t xml:space="preserve"> issued by the district in aggregate may not exceed 10 percent of the assessed value of all real property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outstanding principal amount of bonds secured by contract payments meeting the requirements of Section 3980.0504(2) issued by the district in the aggregate may not exceed an amount equal to 10 percent of the assessed value of all real property in all districts making payments under the contract.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legislature validates and confirms all governmental acts and proceedings of the Hunter Ranch Improvement District No. 1 of Denton County, Texas,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Hunter Ranch Improvement District No.</w:t>
      </w:r>
      <w:r xml:space="preserve">
        <w:t> </w:t>
      </w:r>
      <w:r>
        <w:t xml:space="preserve">1 of Denton County, Texas,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