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19</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statue can be seen at the Church of San Marcello al Corso in Rome and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Texas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19 was adopted by the Senate on May</w:t>
      </w:r>
      <w:r xml:space="preserve">
        <w:t> </w:t>
      </w:r>
      <w:r>
        <w:t xml:space="preserve">8,</w:t>
      </w:r>
      <w:r xml:space="preserve">
        <w:t> </w:t>
      </w:r>
      <w:r>
        <w:t xml:space="preserve">2025, by the following vote:</w:t>
      </w:r>
      <w:r xml:space="preserve">
        <w:t> </w:t>
      </w:r>
      <w:r xml:space="preserve">
        <w:t> </w:t>
      </w:r>
      <w:r>
        <w:t xml:space="preserve">Yeas</w:t>
      </w:r>
      <w:r xml:space="preserve">
        <w:t> </w:t>
      </w:r>
      <w:r>
        <w:t xml:space="preserve">22, Nays</w:t>
      </w:r>
      <w:r xml:space="preserve">
        <w:t> </w:t>
      </w:r>
      <w:r>
        <w:t xml:space="preserve">9.</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19 was adopted by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98, Nays</w:t>
      </w:r>
      <w:r xml:space="preserve">
        <w:t> </w:t>
      </w:r>
      <w:r>
        <w:t xml:space="preserve">44, five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