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S.C.R.</w:t>
      </w:r>
      <w:r xml:space="preserve">
        <w:t> </w:t>
      </w:r>
      <w:r>
        <w:t xml:space="preserve">No.</w:t>
      </w:r>
      <w:r xml:space="preserve">
        <w:t> </w:t>
      </w:r>
      <w:r>
        <w:t xml:space="preserve">19</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February</w:t>
      </w:r>
      <w:r xml:space="preserve">
        <w:t> </w:t>
      </w:r>
      <w:r>
        <w:t xml:space="preserve">21,</w:t>
      </w:r>
      <w:r xml:space="preserve">
        <w:t> </w:t>
      </w:r>
      <w:r>
        <w:t xml:space="preserve">2025</w:t>
      </w:r>
      <w:r>
        <w:t xml:space="preserve">; February</w:t>
      </w:r>
      <w:r xml:space="preserve">
        <w:t> </w:t>
      </w:r>
      <w:r>
        <w:t xml:space="preserve">28,</w:t>
      </w:r>
      <w:r xml:space="preserve">
        <w:t> </w:t>
      </w:r>
      <w:r>
        <w:t xml:space="preserve">2025, read first time and referred to Committee on Administration; April</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4, Nays 3; April</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S.C.R.</w:t>
      </w:r>
      <w:r xml:space="preserve">
        <w:t> </w:t>
      </w:r>
      <w:r>
        <w:t xml:space="preserve">No.</w:t>
      </w:r>
      <w:r xml:space="preserve">
        <w:t> </w:t>
      </w:r>
      <w:r>
        <w:t xml:space="preserve">19</w:t>
      </w:r>
      <w:r xml:space="preserve">
        <w:tab wTab="150" tlc="none" cTlc="0"/>
      </w:r>
      <w:r>
        <w:t xml:space="preserve">By:</w:t>
      </w:r>
      <w:r xml:space="preserve">
        <w:t> </w:t>
      </w:r>
      <w:r xml:space="preserve">
        <w:t> </w:t>
      </w:r>
      <w:r>
        <w:t xml:space="preserve">Hinojosa of Nueces</w:t>
      </w:r>
    </w:p>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statue can be seen at the Church of San Marcello al Corso in Rome and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Texas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C.S.S.C.R.</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