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Dementia Prevention and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collaboratives in this state to provide money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treatment and rehabilitation for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collaboratives in this state in all stages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substantial mitigation of the symptoms of dementia and related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for dementia and related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including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Dementia Prevention and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Dementia Prevention and Research Fund is established as a special fund in the state treasury outside the general revenue fund to be administered by the Dementia Prevention and Research Institute of Texas. </w:t>
      </w:r>
      <w:r>
        <w:rPr>
          <w:u w:val="single"/>
        </w:rPr>
        <w:t xml:space="preserve"> </w:t>
      </w:r>
      <w:r>
        <w:rPr>
          <w:u w:val="single"/>
        </w:rPr>
        <w:t xml:space="preserve">The comptroller of public accounts shall credit to general revenue interest due to the fund.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January 1, 2026, the comptroller shall transfer $3 billion from this state's general revenue fund to the Dementia Prevention and Research Fund.  The transfer made under this subsection is not an appropriation of state tax revenues for the purposes of Section 22, Article VIII, of this constitution.  This subsection expires January 1, 2029.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Dementia Prevention and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Dementia Prevention and Research Institute of Texas, as established by general law, may use money in the Dementia Prevention and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for research on dementia and related disorders, research facilities, and research opportunities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prevention, treatment, and rehabilitation of dementia and related disorders and the mitigation of the incidence of and detrimental health impacts from dementia and related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develop therapies, protocols, medical pharmaceuticals, or procedures for the substantial mitigation of the symptoms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construction, or renovation, subject to the institute's approval, of facilities by or on behalf of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institute's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including any unspent money appropriated to the Dementia Prevention and Research Institute of Texas carried forward from the preceding state fiscal year, the legislature may appropriate not more than $300 million from the Dementia Prevention and Research Fund to the institute for a state fiscal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Dementia Prevention and Research Institute of Texas may award a grant authorized under this section, the grant recipient must have available an unexpended amount of money equal to one-half of the grant amount dedicated to the research specified in the grant proposal.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assets of the Dementia Prevention and Research Fund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