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Dementia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dementia, Alzheimer's disease, Parkinson's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Alzheimer's disease, Parkinson's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Alzheimer's disease, Parkinson's disease,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Alzheimer's disease, Parkinson's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dementia, Alzheimer's disease, Parkinson's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dementia, Alzheimer's disease, Parkinson's disease,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dementia, Alzheimer's disease, Parkinson's disease,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Dementia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Dementia Prevention and Research Fund is established as a special fund in the state treasury outside the general revenue fund to be administered by the Dementia Prevention and Research Institute of Texas. </w:t>
      </w:r>
      <w:r>
        <w:rPr>
          <w:u w:val="single"/>
        </w:rPr>
        <w:t xml:space="preserve"> </w:t>
      </w:r>
      <w:r>
        <w:rPr>
          <w:u w:val="single"/>
        </w:rPr>
        <w:t xml:space="preserve">The comptroller of public accounts shall credit to general revenue interest due to the fund.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Dementia Prevention and Research Fund.  The transfer made under this subsection is not an appropriation of state tax revenues for the purposes of Section 22, Article VIII, of this constitution.  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Dementia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Dementia Prevention and Research Institute of Texas, as established by general law, may use money in the Dementia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dementia, Alzheimer's disease, Parkinson's disease,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dementia, Alzheimer's disease, Parkinson's disease, and related disorders and the mitigation of the incidence of and detrimental health impacts from dementia, Alzheimer's disease, Parkinson's disease, and related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dementia, Alzheimer's disease, Parkinson's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including any unspent money appropriated to the Dementia Prevention and Research Institute of Texas carried forward from the preceding state fiscal year, the legislature may appropriate not more than $300 million from the Dementia Prevention and Research Fund to the institute for a state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Dementia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assets of the Dementia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3 was adopted by the Senate on March 5, 2025, by the following vote:  Yeas</w:t>
      </w:r>
      <w:r xml:space="preserve">
        <w:t> </w:t>
      </w:r>
      <w:r>
        <w:t xml:space="preserve">29, Nays</w:t>
      </w:r>
      <w:r xml:space="preserve">
        <w:t> </w:t>
      </w:r>
      <w:r>
        <w:t xml:space="preserve">2; and that the Senate concurred in House amendment on May 12, 2025,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3 was adopted by the House, with amendment, on April 28, 2025, by the following vote:  Yeas</w:t>
      </w:r>
      <w:r xml:space="preserve">
        <w:t> </w:t>
      </w:r>
      <w:r>
        <w:t xml:space="preserve">123, Nays</w:t>
      </w:r>
      <w:r xml:space="preserve">
        <w:t> </w:t>
      </w:r>
      <w:r>
        <w:t xml:space="preserve">21,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