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S.J.R.</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SENATE JOINT RESOLUTION</w:t>
      </w:r>
    </w:p>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modifying the applicability or prohibiting the imposition or change in the rate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sale of goods or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general business tax measured by business activity.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