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et al.</w:t>
      </w:r>
      <w:r xml:space="preserve">
        <w:tab wTab="150" tlc="none" cTlc="0"/>
      </w:r>
      <w:r>
        <w:t xml:space="preserve">S.J.R.</w:t>
      </w:r>
      <w:r xml:space="preserve">
        <w:t> </w:t>
      </w:r>
      <w:r>
        <w:t xml:space="preserve">No.</w:t>
      </w:r>
      <w:r xml:space="preserve">
        <w:t> </w:t>
      </w:r>
      <w:r>
        <w:t xml:space="preserve">18</w:t>
      </w:r>
    </w:p>
    <w:p w:rsidR="003F3435" w:rsidRDefault="0032493E">
      <w:pPr>
        <w:ind w:firstLine="720"/>
        <w:jc w:val="both"/>
      </w:pPr>
      <w:r>
        <w:t xml:space="preserve">(Capriglione, Metcalf)</w:t>
      </w:r>
    </w:p>
    <w:p w:rsidR="003F3435" w:rsidRDefault="003F3435"/>
    <w:p w:rsidR="003F3435" w:rsidRDefault="003F3435"/>
    <w:p w:rsidR="003F3435" w:rsidRDefault="0032493E">
      <w:pPr>
        <w:spacing w:before="240" w:line="480" w:lineRule="auto"/>
        <w:jc w:val="center"/>
      </w:pPr>
      <w:r>
        <w:t xml:space="preserve">SENATE JOINT RESOLUTION</w:t>
      </w:r>
    </w:p>
    <w:p w:rsidR="003F3435" w:rsidRDefault="0032493E">
      <w:pPr>
        <w:spacing w:line="480" w:lineRule="auto"/>
        <w:jc w:val="both"/>
      </w:pPr>
      <w:r>
        <w:t xml:space="preserve">proposing a constitutional amendment prohibiting the imposition of a tax on the realized or unrealized capital gains of an individual, family, estate, or trust.</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24-b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24-b.</w:t>
      </w:r>
      <w:r>
        <w:rPr>
          <w:u w:val="single"/>
        </w:rPr>
        <w:t xml:space="preserve"> </w:t>
      </w:r>
      <w:r>
        <w:rPr>
          <w:u w:val="single"/>
        </w:rPr>
        <w:t xml:space="preserve"> </w:t>
      </w:r>
      <w:r>
        <w:rPr>
          <w:u w:val="single"/>
        </w:rPr>
        <w:t xml:space="preserve">(a) </w:t>
      </w:r>
      <w:r>
        <w:rPr>
          <w:u w:val="single"/>
        </w:rPr>
        <w:t xml:space="preserve"> </w:t>
      </w:r>
      <w:r>
        <w:rPr>
          <w:u w:val="single"/>
        </w:rPr>
        <w:t xml:space="preserve">Subject to Subsection (b) of this section, the legislature may not impose a tax on the realized or unrealized capital gains of an individual, family, estate, or trust, including a tax on the sale or transfer of a capital asset that is payable by the individual, family, estate, or trust selling or transferring the asset.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may not be construed as modifying the applicability or prohibiting the imposition or change in the rate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 valorem tax on property;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sales tax on the sale of goods or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use tax on the storage, use, or other consumption in this state of goods or services;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general business tax measured by business activity.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prohibiting the imposition of a tax on the realized or unrealized capital gains of an individual, family, estate, or trust."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