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89R4768 KRM-F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protecting the right of parents to raise their children.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(a)  A parent has the inherent right to exercise care, custody, and control of the parent's child and to make decisions for the upbringing of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or a political subdivision of this state shall not interfere with the rights of a parent described by Subsection (a) of this section unless the interference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essential to further a compelling governmental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narrowly tailored to accomplish that compelling governmental interest.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establishing parents as the primary decision-makers for their children."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