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Paxton</w:t>
      </w:r>
      <w:r xml:space="preserve">
        <w:tab wTab="150" tlc="none" cTlc="0"/>
      </w:r>
      <w:r>
        <w:t xml:space="preserve">S.J.R.</w:t>
      </w:r>
      <w:r xml:space="preserve">
        <w:t> </w:t>
      </w:r>
      <w:r>
        <w:t xml:space="preserve">No.</w:t>
      </w:r>
      <w:r xml:space="preserve">
        <w:t> </w:t>
      </w:r>
      <w:r>
        <w:t xml:space="preserve">34</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13,</w:t>
      </w:r>
      <w:r xml:space="preserve">
        <w:t> </w:t>
      </w:r>
      <w:r>
        <w:t xml:space="preserve">2025; February</w:t>
      </w:r>
      <w:r xml:space="preserve">
        <w:t> </w:t>
      </w:r>
      <w:r>
        <w:t xml:space="preserve">7,</w:t>
      </w:r>
      <w:r xml:space="preserve">
        <w:t> </w:t>
      </w:r>
      <w:r>
        <w:t xml:space="preserve">2025, read first time and referred to Committee on State Affairs; March</w:t>
      </w:r>
      <w:r xml:space="preserve">
        <w:t> </w:t>
      </w:r>
      <w:r>
        <w:t xml:space="preserve">5,</w:t>
      </w:r>
      <w:r xml:space="preserve">
        <w:t> </w:t>
      </w:r>
      <w:r>
        <w:t xml:space="preserve">2025, reported favorably by the following vote:</w:t>
      </w:r>
      <w:r>
        <w:t xml:space="preserve"> </w:t>
      </w:r>
      <w:r>
        <w:t xml:space="preserve"> </w:t>
      </w:r>
      <w:r>
        <w:t xml:space="preserve">Yeas 11, Nays 0; March</w:t>
      </w:r>
      <w:r xml:space="preserve">
        <w:t> </w:t>
      </w:r>
      <w:r>
        <w:t xml:space="preserve">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SENATE JOINT RESOLUTION</w:t>
      </w:r>
    </w:p>
    <w:p w:rsidR="003F3435" w:rsidRDefault="003F3435"/>
    <w:p w:rsidR="003F3435" w:rsidRDefault="0032493E">
      <w:pPr>
        <w:spacing w:line="480" w:lineRule="auto"/>
        <w:jc w:val="both"/>
      </w:pPr>
      <w:r>
        <w:t xml:space="preserve">proposing a constitutional amendment protecting the right of parents to raise their children.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(a)  A parent has the inherent right to exercise care, custody, and control of the parent's child and to make decisions for the upbringing of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or a political subdivision of this state shall not interfere with the rights of a parent described by Subsection (a) of this section unless the interference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essential to further a compelling governmental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narrowly tailored to accomplish that compelling governmental interest.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establishing parents as the primary decision-makers for their children."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