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0E7C54F5" w14:textId="77777777" w:rsidTr="006170CE">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5F3007" w14:paraId="601463BB" w14:textId="77777777">
            <w:pPr>
              <w:ind w:left="650"/>
              <w:jc w:val="center"/>
            </w:pPr>
            <w:r>
              <w:rPr>
                <w:b/>
              </w:rPr>
              <w:t>House Bill  1234</w:t>
            </w:r>
          </w:p>
          <w:p w:rsidR="005F3007" w14:paraId="0942DE45" w14:textId="77777777">
            <w:pPr>
              <w:ind w:left="650"/>
              <w:jc w:val="center"/>
            </w:pPr>
            <w:r>
              <w:t>Senate Amendments</w:t>
            </w:r>
          </w:p>
          <w:p w:rsidR="005F3007" w14:paraId="6555AEAB" w14:textId="77777777">
            <w:pPr>
              <w:ind w:left="650"/>
              <w:jc w:val="center"/>
            </w:pPr>
            <w:r>
              <w:t>Section-by-Section Analysis</w:t>
            </w:r>
          </w:p>
          <w:p w:rsidR="005F3007" w14:paraId="231AB967" w14:textId="77777777">
            <w:pPr>
              <w:jc w:val="center"/>
            </w:pPr>
          </w:p>
        </w:tc>
      </w:tr>
      <w:tr w14:paraId="50BD434D"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5F3007" w14:paraId="52D3F12D" w14:textId="77777777">
            <w:pPr>
              <w:jc w:val="center"/>
            </w:pPr>
            <w:r>
              <w:t>HOUSE VERSION</w:t>
            </w:r>
          </w:p>
        </w:tc>
        <w:tc>
          <w:tcPr>
            <w:tcW w:w="1667" w:type="pct"/>
            <w:tcMar>
              <w:bottom w:w="188" w:type="dxa"/>
              <w:right w:w="0" w:type="dxa"/>
            </w:tcMar>
          </w:tcPr>
          <w:p w:rsidR="005F3007" w14:paraId="27D831B4" w14:textId="77777777">
            <w:pPr>
              <w:jc w:val="center"/>
            </w:pPr>
            <w:r>
              <w:t>SENATE VERSION (IE)</w:t>
            </w:r>
          </w:p>
        </w:tc>
        <w:tc>
          <w:tcPr>
            <w:tcW w:w="1667" w:type="pct"/>
            <w:tcMar>
              <w:bottom w:w="188" w:type="dxa"/>
              <w:right w:w="0" w:type="dxa"/>
            </w:tcMar>
          </w:tcPr>
          <w:p w:rsidR="005F3007" w14:paraId="2BF77E83" w14:textId="77777777">
            <w:pPr>
              <w:jc w:val="center"/>
            </w:pPr>
            <w:r>
              <w:t>CONFERENCE</w:t>
            </w:r>
          </w:p>
        </w:tc>
      </w:tr>
      <w:tr w14:paraId="52706309" w14:textId="77777777">
        <w:tblPrEx>
          <w:tblW w:w="4820" w:type="pct"/>
          <w:tblInd w:w="6" w:type="dxa"/>
          <w:tblLayout w:type="fixed"/>
          <w:tblCellMar>
            <w:left w:w="0" w:type="dxa"/>
            <w:bottom w:w="288" w:type="dxa"/>
            <w:right w:w="720" w:type="dxa"/>
          </w:tblCellMar>
          <w:tblLook w:val="01E0"/>
        </w:tblPrEx>
        <w:tc>
          <w:tcPr>
            <w:tcW w:w="6473" w:type="dxa"/>
          </w:tcPr>
          <w:p w:rsidR="005F3007" w14:paraId="07CBC767" w14:textId="77777777">
            <w:pPr>
              <w:jc w:val="both"/>
            </w:pPr>
            <w:r>
              <w:t>SECTION 1.  Subchapter H, Chapter 411, Government Code, is amended by adding Section 411.1765 to read as follows:</w:t>
            </w:r>
          </w:p>
          <w:p w:rsidR="005F3007" w14:paraId="2FAD7982" w14:textId="77777777">
            <w:pPr>
              <w:jc w:val="both"/>
            </w:pPr>
            <w:r>
              <w:rPr>
                <w:u w:val="single"/>
              </w:rPr>
              <w:t>Sec. 411.1765.  NOTICE OF CERTAIN DENIALS.  (a)  This section applies only to an application for the issuance of an original or renewal license to carry a handgun for which the department has received an opinion from a panel member of the medical advisory board under Section 12.095, Health and Safety Code, that indicates the applicant may be unable to exercise sound judgment with respect to the proper use and storage of a handgun.</w:t>
            </w:r>
          </w:p>
          <w:p w:rsidR="005F3007" w14:paraId="2D1B47D2" w14:textId="77777777">
            <w:pPr>
              <w:jc w:val="both"/>
            </w:pPr>
            <w:r>
              <w:rPr>
                <w:u w:val="single"/>
              </w:rPr>
              <w:t>(b)  The department may not deny an application to which this section applies, unless the department first provides the applicant with:</w:t>
            </w:r>
          </w:p>
          <w:p w:rsidR="005F3007" w14:paraId="0A9F03BB" w14:textId="77777777">
            <w:pPr>
              <w:jc w:val="both"/>
            </w:pPr>
            <w:r>
              <w:rPr>
                <w:u w:val="single"/>
              </w:rPr>
              <w:t>(1)  a written notice that specifically states the reason the department is considering denying the application; and</w:t>
            </w:r>
          </w:p>
          <w:p w:rsidR="005F3007" w14:paraId="115ED881" w14:textId="77777777">
            <w:pPr>
              <w:jc w:val="both"/>
            </w:pPr>
            <w:r>
              <w:rPr>
                <w:u w:val="single"/>
              </w:rPr>
              <w:t>(2)  a period of not less than 30 days in which the applicant may provide additional written materials to the department to supplement or clarify the applicant's application submitted under this subchapter.</w:t>
            </w:r>
          </w:p>
          <w:p w:rsidR="005F3007" w14:paraId="7EA48FD8" w14:textId="77777777">
            <w:pPr>
              <w:jc w:val="both"/>
            </w:pPr>
            <w:r>
              <w:rPr>
                <w:u w:val="single"/>
              </w:rPr>
              <w:t>(c)  The department shall forward any materials received in the period described by Subsection (b)(2) to the entire medical advisory board described by Subsection (a).  After reviewing the written materials, each panel member shall submit a written report to the department stating the panel member's opinion as to the ability of the applicant to exercise sound judgment with respect to the proper use and storage of a handgun.</w:t>
            </w:r>
          </w:p>
          <w:p w:rsidR="005F3007" w14:paraId="0A2F6083" w14:textId="77777777">
            <w:pPr>
              <w:jc w:val="both"/>
            </w:pPr>
            <w:r>
              <w:rPr>
                <w:u w:val="single"/>
              </w:rPr>
              <w:t>(d)  After the medical advisory board panel submits the written reports under Subsection (c), the department shall review the application and determine whether to issue an original or renewal license to carry a handgun or to deny the application.</w:t>
            </w:r>
          </w:p>
          <w:p w:rsidR="005F3007" w14:paraId="56962BA0" w14:textId="77777777">
            <w:pPr>
              <w:jc w:val="both"/>
            </w:pPr>
          </w:p>
        </w:tc>
        <w:tc>
          <w:tcPr>
            <w:tcW w:w="6480" w:type="dxa"/>
          </w:tcPr>
          <w:p w:rsidR="005F3007" w14:paraId="5A146F24" w14:textId="77777777">
            <w:pPr>
              <w:jc w:val="both"/>
            </w:pPr>
            <w:r>
              <w:t>SECTION 1.  Subchapter H, Chapter 411, Government Code, is amended by adding Section 411.1765 to read as follows:</w:t>
            </w:r>
          </w:p>
          <w:p w:rsidR="005F3007" w14:paraId="5CF8A5FF" w14:textId="77777777">
            <w:pPr>
              <w:jc w:val="both"/>
            </w:pPr>
            <w:r>
              <w:rPr>
                <w:u w:val="single"/>
              </w:rPr>
              <w:t>Sec. 411.1765.  NOTICE OF CERTAIN DENIALS.  (a)  This section applies only to an application for the issuance of an original or renewal license to carry a handgun for which the department has received an opinion from a panel member of the medical advisory board under Section 12.095, Health and Safety Code, that indicates the applicant may be unable to exercise sound judgment with respect to the proper use and storage of a handgun.</w:t>
            </w:r>
          </w:p>
          <w:p w:rsidR="005F3007" w14:paraId="4A051362" w14:textId="77777777">
            <w:pPr>
              <w:jc w:val="both"/>
            </w:pPr>
            <w:r>
              <w:rPr>
                <w:u w:val="single"/>
              </w:rPr>
              <w:t>(b)  The department may not deny an application to which this section applies, unless the department first provides the applicant with:</w:t>
            </w:r>
          </w:p>
          <w:p w:rsidR="005F3007" w14:paraId="3FC57815" w14:textId="77777777">
            <w:pPr>
              <w:jc w:val="both"/>
            </w:pPr>
            <w:r>
              <w:rPr>
                <w:u w:val="single"/>
              </w:rPr>
              <w:t>(1)  a written notice that specifically states the reason the department is considering denying the application; and</w:t>
            </w:r>
          </w:p>
          <w:p w:rsidR="005F3007" w14:paraId="159CA389" w14:textId="77777777">
            <w:pPr>
              <w:jc w:val="both"/>
            </w:pPr>
            <w:r>
              <w:rPr>
                <w:u w:val="single"/>
              </w:rPr>
              <w:t>(2)  a period of not less than 30 days in which the applicant may provide additional written materials to the department to supplement or clarify the applicant's application submitted under this subchapter.</w:t>
            </w:r>
          </w:p>
          <w:p w:rsidR="005F3007" w14:paraId="353A7372" w14:textId="77777777">
            <w:pPr>
              <w:jc w:val="both"/>
            </w:pPr>
            <w:r>
              <w:rPr>
                <w:u w:val="single"/>
              </w:rPr>
              <w:t xml:space="preserve">(c)  The department shall forward any materials received in the period described by Subsection (b)(2) to the entire medical advisory board </w:t>
            </w:r>
            <w:r w:rsidRPr="006170CE">
              <w:rPr>
                <w:highlight w:val="lightGray"/>
                <w:u w:val="single"/>
              </w:rPr>
              <w:t>panel</w:t>
            </w:r>
            <w:r>
              <w:rPr>
                <w:u w:val="single"/>
              </w:rPr>
              <w:t xml:space="preserve"> described by Subsection (a).  After reviewing the written materials, each panel member shall submit a written report to the department stating the panel member's opinion as to the ability of the applicant to exercise sound judgment with respect to the proper use and storage of a handgun.</w:t>
            </w:r>
            <w:r>
              <w:t xml:space="preserve">  [FA1]</w:t>
            </w:r>
          </w:p>
          <w:p w:rsidR="005F3007" w14:paraId="1E6BAA7E" w14:textId="77777777">
            <w:pPr>
              <w:jc w:val="both"/>
            </w:pPr>
            <w:r>
              <w:rPr>
                <w:u w:val="single"/>
              </w:rPr>
              <w:t>(d)  After the medical advisory board panel submits the written reports under Subsection (c), the department shall review the application and determine whether to issue an original or renewal license to carry a handgun or to deny the application.</w:t>
            </w:r>
          </w:p>
          <w:p w:rsidR="005F3007" w14:paraId="23786197" w14:textId="77777777">
            <w:pPr>
              <w:jc w:val="both"/>
            </w:pPr>
          </w:p>
        </w:tc>
        <w:tc>
          <w:tcPr>
            <w:tcW w:w="5760" w:type="dxa"/>
          </w:tcPr>
          <w:p w:rsidR="005F3007" w14:paraId="5C44B213" w14:textId="77777777">
            <w:pPr>
              <w:jc w:val="both"/>
            </w:pPr>
          </w:p>
        </w:tc>
      </w:tr>
      <w:tr w14:paraId="37EB2889" w14:textId="77777777">
        <w:tblPrEx>
          <w:tblW w:w="4820" w:type="pct"/>
          <w:tblInd w:w="6" w:type="dxa"/>
          <w:tblLayout w:type="fixed"/>
          <w:tblCellMar>
            <w:left w:w="0" w:type="dxa"/>
            <w:bottom w:w="288" w:type="dxa"/>
            <w:right w:w="720" w:type="dxa"/>
          </w:tblCellMar>
          <w:tblLook w:val="01E0"/>
        </w:tblPrEx>
        <w:tc>
          <w:tcPr>
            <w:tcW w:w="6473" w:type="dxa"/>
          </w:tcPr>
          <w:p w:rsidR="005F3007" w14:paraId="3C942BD5" w14:textId="77777777">
            <w:pPr>
              <w:jc w:val="both"/>
            </w:pPr>
            <w:r>
              <w:t>SECTION 2.  The changes in law made by this Act apply only to an application for the issuance of an original or renewal license to carry a handgun submitted on or after the effective date of this Act.  An application submitted before the effective date of this Act is governed by the law in effect on the date the application was submitted, and the former law is continued in effect for that purpose.</w:t>
            </w:r>
          </w:p>
          <w:p w:rsidR="005F3007" w14:paraId="1B6262DF" w14:textId="77777777">
            <w:pPr>
              <w:jc w:val="both"/>
            </w:pPr>
          </w:p>
        </w:tc>
        <w:tc>
          <w:tcPr>
            <w:tcW w:w="6480" w:type="dxa"/>
          </w:tcPr>
          <w:p w:rsidR="005F3007" w14:paraId="2877CC58" w14:textId="77777777">
            <w:pPr>
              <w:jc w:val="both"/>
            </w:pPr>
            <w:r>
              <w:t>SECTION 2. Same as House version.</w:t>
            </w:r>
          </w:p>
          <w:p w:rsidR="005F3007" w14:paraId="16E722D0" w14:textId="77777777">
            <w:pPr>
              <w:jc w:val="both"/>
            </w:pPr>
          </w:p>
          <w:p w:rsidR="005F3007" w14:paraId="3C2F4D0B" w14:textId="77777777">
            <w:pPr>
              <w:jc w:val="both"/>
            </w:pPr>
          </w:p>
        </w:tc>
        <w:tc>
          <w:tcPr>
            <w:tcW w:w="5760" w:type="dxa"/>
          </w:tcPr>
          <w:p w:rsidR="005F3007" w14:paraId="7DAB83C5" w14:textId="77777777">
            <w:pPr>
              <w:jc w:val="both"/>
            </w:pPr>
          </w:p>
        </w:tc>
      </w:tr>
      <w:tr w14:paraId="7637617D" w14:textId="77777777">
        <w:tblPrEx>
          <w:tblW w:w="4820" w:type="pct"/>
          <w:tblInd w:w="6" w:type="dxa"/>
          <w:tblLayout w:type="fixed"/>
          <w:tblCellMar>
            <w:left w:w="0" w:type="dxa"/>
            <w:bottom w:w="288" w:type="dxa"/>
            <w:right w:w="720" w:type="dxa"/>
          </w:tblCellMar>
          <w:tblLook w:val="01E0"/>
        </w:tblPrEx>
        <w:tc>
          <w:tcPr>
            <w:tcW w:w="6473" w:type="dxa"/>
          </w:tcPr>
          <w:p w:rsidR="005F3007" w14:paraId="537ECEEF" w14:textId="77777777">
            <w:pPr>
              <w:jc w:val="both"/>
            </w:pPr>
            <w:r>
              <w:t>SECTION 3.  This Act takes effect September 1, 2025.</w:t>
            </w:r>
          </w:p>
          <w:p w:rsidR="005F3007" w14:paraId="42D58562" w14:textId="77777777">
            <w:pPr>
              <w:jc w:val="both"/>
            </w:pPr>
          </w:p>
        </w:tc>
        <w:tc>
          <w:tcPr>
            <w:tcW w:w="6480" w:type="dxa"/>
          </w:tcPr>
          <w:p w:rsidR="005F3007" w14:paraId="146AE349" w14:textId="77777777">
            <w:pPr>
              <w:jc w:val="both"/>
            </w:pPr>
            <w:r>
              <w:t>SECTION 3. Same as House version.</w:t>
            </w:r>
          </w:p>
          <w:p w:rsidR="005F3007" w14:paraId="639E2376" w14:textId="77777777">
            <w:pPr>
              <w:jc w:val="both"/>
            </w:pPr>
          </w:p>
          <w:p w:rsidR="005F3007" w14:paraId="44C34BB2" w14:textId="77777777">
            <w:pPr>
              <w:jc w:val="both"/>
            </w:pPr>
          </w:p>
        </w:tc>
        <w:tc>
          <w:tcPr>
            <w:tcW w:w="5760" w:type="dxa"/>
          </w:tcPr>
          <w:p w:rsidR="005F3007" w14:paraId="133BBFBD" w14:textId="77777777">
            <w:pPr>
              <w:jc w:val="both"/>
            </w:pPr>
          </w:p>
        </w:tc>
      </w:tr>
    </w:tbl>
    <w:p w:rsidR="000A4DF9" w14:paraId="45A40294" w14:textId="77777777"/>
    <w:sectPr w:rsidSect="005F3007">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CD0" w14:paraId="572E72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007" w14:paraId="716DC529" w14:textId="4EC55A82">
    <w:pPr>
      <w:tabs>
        <w:tab w:val="center" w:pos="9360"/>
        <w:tab w:val="right" w:pos="18720"/>
      </w:tabs>
    </w:pPr>
    <w:r>
      <w:fldChar w:fldCharType="begin"/>
    </w:r>
    <w:r>
      <w:instrText xml:space="preserve"> DOCPROPERTY  CCRF  \* MERGEFORMAT </w:instrText>
    </w:r>
    <w:r>
      <w:fldChar w:fldCharType="separate"/>
    </w:r>
    <w:r w:rsidR="00A532C0">
      <w:t xml:space="preserve"> </w:t>
    </w:r>
    <w:r w:rsidR="00A532C0">
      <w:fldChar w:fldCharType="end"/>
    </w:r>
    <w:r w:rsidR="000A4DF9">
      <w:tab/>
    </w:r>
    <w:r>
      <w:fldChar w:fldCharType="begin"/>
    </w:r>
    <w:r w:rsidR="000A4DF9">
      <w:instrText xml:space="preserve"> PAGE </w:instrText>
    </w:r>
    <w:r>
      <w:fldChar w:fldCharType="separate"/>
    </w:r>
    <w:r w:rsidR="000A4DF9">
      <w:t>2</w:t>
    </w:r>
    <w:r>
      <w:fldChar w:fldCharType="end"/>
    </w:r>
    <w:r w:rsidR="000A4DF9">
      <w:tab/>
    </w:r>
    <w:r>
      <w:fldChar w:fldCharType="begin"/>
    </w:r>
    <w:r>
      <w:instrText xml:space="preserve"> DOCPROPERTY  OTID  \* MERGEFORMAT </w:instrText>
    </w:r>
    <w:r>
      <w:fldChar w:fldCharType="separate"/>
    </w:r>
    <w:r w:rsidR="00A532C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CD0" w14:paraId="10E8D53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CD0" w14:paraId="31780DB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CD0" w14:paraId="4768CC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CD0" w14:paraId="39C1AE0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07"/>
    <w:rsid w:val="000A4DF9"/>
    <w:rsid w:val="00537CD0"/>
    <w:rsid w:val="005F3007"/>
    <w:rsid w:val="006170CE"/>
    <w:rsid w:val="008165DC"/>
    <w:rsid w:val="00820EB4"/>
    <w:rsid w:val="00A532C0"/>
    <w:rsid w:val="00D17F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D7501FE-FCB1-4799-832C-153839D7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00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CD0"/>
    <w:pPr>
      <w:tabs>
        <w:tab w:val="center" w:pos="4680"/>
        <w:tab w:val="right" w:pos="9360"/>
      </w:tabs>
    </w:pPr>
  </w:style>
  <w:style w:type="character" w:customStyle="1" w:styleId="HeaderChar">
    <w:name w:val="Header Char"/>
    <w:basedOn w:val="DefaultParagraphFont"/>
    <w:link w:val="Header"/>
    <w:uiPriority w:val="99"/>
    <w:rsid w:val="00537CD0"/>
    <w:rPr>
      <w:sz w:val="22"/>
    </w:rPr>
  </w:style>
  <w:style w:type="paragraph" w:styleId="Footer">
    <w:name w:val="footer"/>
    <w:basedOn w:val="Normal"/>
    <w:link w:val="FooterChar"/>
    <w:uiPriority w:val="99"/>
    <w:unhideWhenUsed/>
    <w:rsid w:val="00537CD0"/>
    <w:pPr>
      <w:tabs>
        <w:tab w:val="center" w:pos="4680"/>
        <w:tab w:val="right" w:pos="9360"/>
      </w:tabs>
    </w:pPr>
  </w:style>
  <w:style w:type="character" w:customStyle="1" w:styleId="FooterChar">
    <w:name w:val="Footer Char"/>
    <w:basedOn w:val="DefaultParagraphFont"/>
    <w:link w:val="Footer"/>
    <w:uiPriority w:val="99"/>
    <w:rsid w:val="00537CD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645</Words>
  <Characters>3341</Characters>
  <Application>Microsoft Office Word</Application>
  <DocSecurity>0</DocSecurity>
  <Lines>92</Lines>
  <Paragraphs>24</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HB1234-SAA</dc:title>
  <dc:creator>Charles McCarty</dc:creator>
  <cp:lastModifiedBy>Emma Johnson</cp:lastModifiedBy>
  <cp:revision>2</cp:revision>
  <dcterms:created xsi:type="dcterms:W3CDTF">2025-05-28T15:03:00Z</dcterms:created>
  <dcterms:modified xsi:type="dcterms:W3CDTF">2025-05-28T15:03:00Z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