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248"/>
        <w:gridCol w:w="6248"/>
        <w:gridCol w:w="6244"/>
      </w:tblGrid>
      <w:tr w14:paraId="31BB8761" w14:textId="77777777" w:rsidTr="009A5DCC">
        <w:tblPrEx>
          <w:tblW w:w="4820" w:type="pct"/>
          <w:tblInd w:w="6" w:type="dxa"/>
          <w:tblLayout w:type="fixed"/>
          <w:tblCellMar>
            <w:left w:w="0" w:type="dxa"/>
            <w:bottom w:w="288" w:type="dxa"/>
            <w:right w:w="720" w:type="dxa"/>
          </w:tblCellMar>
          <w:tblLook w:val="01E0"/>
        </w:tblPrEx>
        <w:trPr>
          <w:cantSplit/>
          <w:tblHeader/>
        </w:trPr>
        <w:tc>
          <w:tcPr>
            <w:tcW w:w="18740" w:type="dxa"/>
            <w:gridSpan w:val="3"/>
          </w:tcPr>
          <w:p w:rsidR="00B86DB6" w14:paraId="1A2E3233" w14:textId="77777777">
            <w:pPr>
              <w:ind w:left="650"/>
              <w:jc w:val="center"/>
            </w:pPr>
            <w:r>
              <w:rPr>
                <w:b/>
              </w:rPr>
              <w:t>House Bill  2516</w:t>
            </w:r>
          </w:p>
          <w:p w:rsidR="00B86DB6" w14:paraId="79487F27" w14:textId="77777777">
            <w:pPr>
              <w:ind w:left="650"/>
              <w:jc w:val="center"/>
            </w:pPr>
            <w:r>
              <w:t>Senate Amendments</w:t>
            </w:r>
          </w:p>
          <w:p w:rsidR="00B86DB6" w14:paraId="6D42F6F2" w14:textId="77777777">
            <w:pPr>
              <w:ind w:left="650"/>
              <w:jc w:val="center"/>
            </w:pPr>
            <w:r>
              <w:t>Section-by-Section Analysis</w:t>
            </w:r>
          </w:p>
          <w:p w:rsidR="00B86DB6" w14:paraId="3D08A4D0" w14:textId="77777777">
            <w:pPr>
              <w:jc w:val="center"/>
            </w:pPr>
          </w:p>
        </w:tc>
      </w:tr>
      <w:tr w14:paraId="6BF5E441" w14:textId="77777777" w:rsidTr="009A5DCC">
        <w:tblPrEx>
          <w:tblW w:w="4820" w:type="pct"/>
          <w:tblInd w:w="6" w:type="dxa"/>
          <w:tblLayout w:type="fixed"/>
          <w:tblCellMar>
            <w:left w:w="0" w:type="dxa"/>
            <w:bottom w:w="288" w:type="dxa"/>
            <w:right w:w="720" w:type="dxa"/>
          </w:tblCellMar>
          <w:tblLook w:val="01E0"/>
        </w:tblPrEx>
        <w:trPr>
          <w:cantSplit/>
          <w:tblHeader/>
        </w:trPr>
        <w:tc>
          <w:tcPr>
            <w:tcW w:w="6248" w:type="dxa"/>
            <w:tcMar>
              <w:bottom w:w="188" w:type="dxa"/>
              <w:right w:w="0" w:type="dxa"/>
            </w:tcMar>
          </w:tcPr>
          <w:p w:rsidR="00B86DB6" w14:paraId="024554AE" w14:textId="77777777">
            <w:pPr>
              <w:jc w:val="center"/>
            </w:pPr>
            <w:r>
              <w:t>HOUSE VERSION</w:t>
            </w:r>
          </w:p>
        </w:tc>
        <w:tc>
          <w:tcPr>
            <w:tcW w:w="6248" w:type="dxa"/>
            <w:tcMar>
              <w:bottom w:w="188" w:type="dxa"/>
              <w:right w:w="0" w:type="dxa"/>
            </w:tcMar>
          </w:tcPr>
          <w:p w:rsidR="00B86DB6" w14:paraId="38CE52C8" w14:textId="77777777">
            <w:pPr>
              <w:jc w:val="center"/>
            </w:pPr>
            <w:r>
              <w:t>SENATE VERSION (IE)</w:t>
            </w:r>
          </w:p>
        </w:tc>
        <w:tc>
          <w:tcPr>
            <w:tcW w:w="6244" w:type="dxa"/>
            <w:tcMar>
              <w:bottom w:w="188" w:type="dxa"/>
              <w:right w:w="0" w:type="dxa"/>
            </w:tcMar>
          </w:tcPr>
          <w:p w:rsidR="00B86DB6" w14:paraId="5E4A85A5" w14:textId="77777777">
            <w:pPr>
              <w:jc w:val="center"/>
            </w:pPr>
            <w:r>
              <w:t>CONFERENCE</w:t>
            </w:r>
          </w:p>
        </w:tc>
      </w:tr>
      <w:tr w14:paraId="3DAE3242" w14:textId="77777777" w:rsidTr="009A5DCC">
        <w:tblPrEx>
          <w:tblW w:w="4820" w:type="pct"/>
          <w:tblInd w:w="6" w:type="dxa"/>
          <w:tblLayout w:type="fixed"/>
          <w:tblCellMar>
            <w:left w:w="0" w:type="dxa"/>
            <w:bottom w:w="288" w:type="dxa"/>
            <w:right w:w="720" w:type="dxa"/>
          </w:tblCellMar>
          <w:tblLook w:val="01E0"/>
        </w:tblPrEx>
        <w:tc>
          <w:tcPr>
            <w:tcW w:w="6248" w:type="dxa"/>
          </w:tcPr>
          <w:p w:rsidR="00B86DB6" w14:paraId="53427F3C" w14:textId="77777777">
            <w:pPr>
              <w:jc w:val="both"/>
            </w:pPr>
            <w:r>
              <w:t>SECTION 1.  This Act shall be known as the Chris Larkin ALS Act.</w:t>
            </w:r>
          </w:p>
          <w:p w:rsidR="00B86DB6" w14:paraId="3917F0BF" w14:textId="77777777">
            <w:pPr>
              <w:jc w:val="both"/>
            </w:pPr>
          </w:p>
        </w:tc>
        <w:tc>
          <w:tcPr>
            <w:tcW w:w="6248" w:type="dxa"/>
          </w:tcPr>
          <w:p w:rsidR="00B86DB6" w14:paraId="667BA1F5" w14:textId="77777777">
            <w:pPr>
              <w:jc w:val="both"/>
            </w:pPr>
            <w:r>
              <w:t>SECTION 1. Same as House version.</w:t>
            </w:r>
          </w:p>
          <w:p w:rsidR="00B86DB6" w14:paraId="3001144A" w14:textId="77777777">
            <w:pPr>
              <w:jc w:val="both"/>
            </w:pPr>
          </w:p>
          <w:p w:rsidR="00B86DB6" w14:paraId="34741E05" w14:textId="77777777">
            <w:pPr>
              <w:jc w:val="both"/>
            </w:pPr>
          </w:p>
        </w:tc>
        <w:tc>
          <w:tcPr>
            <w:tcW w:w="6244" w:type="dxa"/>
          </w:tcPr>
          <w:p w:rsidR="00B86DB6" w14:paraId="65B07610" w14:textId="77777777">
            <w:pPr>
              <w:jc w:val="both"/>
            </w:pPr>
          </w:p>
        </w:tc>
      </w:tr>
      <w:tr w14:paraId="5249881A" w14:textId="77777777" w:rsidTr="009A5DCC">
        <w:tblPrEx>
          <w:tblW w:w="4820" w:type="pct"/>
          <w:tblInd w:w="6" w:type="dxa"/>
          <w:tblLayout w:type="fixed"/>
          <w:tblCellMar>
            <w:left w:w="0" w:type="dxa"/>
            <w:bottom w:w="288" w:type="dxa"/>
            <w:right w:w="720" w:type="dxa"/>
          </w:tblCellMar>
          <w:tblLook w:val="01E0"/>
        </w:tblPrEx>
        <w:tc>
          <w:tcPr>
            <w:tcW w:w="6248" w:type="dxa"/>
          </w:tcPr>
          <w:p w:rsidR="00B86DB6" w14:paraId="5ECADDC6" w14:textId="77777777">
            <w:pPr>
              <w:jc w:val="both"/>
            </w:pPr>
            <w:r>
              <w:t>SECTION 2.  Subchapter B, Chapter 1652, Insurance Code, is amended by adding Sections 1652.059 and 1652.060 to read as follows:</w:t>
            </w:r>
          </w:p>
          <w:p w:rsidR="00B86DB6" w14:paraId="27AADFEE" w14:textId="77777777">
            <w:pPr>
              <w:jc w:val="both"/>
            </w:pPr>
            <w:r>
              <w:rPr>
                <w:u w:val="single"/>
              </w:rPr>
              <w:t>Sec. 1652.059.  COVERAGE FOR CERTAIN INDIVIDUALS YOUNGER THAN 65.  (a)  In this section, "entity" means an entity that delivers or issues for delivery a Medicare supplement benefit plan in this state.</w:t>
            </w:r>
          </w:p>
          <w:p w:rsidR="00B86DB6" w14:paraId="615D6F9F" w14:textId="77777777">
            <w:pPr>
              <w:jc w:val="both"/>
            </w:pPr>
            <w:r>
              <w:rPr>
                <w:u w:val="single"/>
              </w:rPr>
              <w:t xml:space="preserve">(b)  An entity that offers coverage under a Medicare supplement benefit plan to individuals 65 years of age or older must offer the same coverage to individuals younger than 65 years of age who are eligible for and enrolled in Medicare by reason of </w:t>
            </w:r>
            <w:r w:rsidRPr="009A5DCC">
              <w:rPr>
                <w:highlight w:val="lightGray"/>
                <w:u w:val="single"/>
              </w:rPr>
              <w:t>disability, end stage renal disease, or</w:t>
            </w:r>
            <w:r>
              <w:rPr>
                <w:u w:val="single"/>
              </w:rPr>
              <w:t xml:space="preserve"> amyotrophic lateral sclerosis.</w:t>
            </w:r>
          </w:p>
          <w:p w:rsidR="00B86DB6" w14:paraId="58900F83" w14:textId="77777777">
            <w:pPr>
              <w:jc w:val="both"/>
            </w:pPr>
            <w:r>
              <w:rPr>
                <w:u w:val="single"/>
              </w:rPr>
              <w:t>(c)  Except as otherwise provided by rules adopted under Section 1652.051, any benefit, protection, policy, or procedure applicable to coverage under a plan for an individual 65 years of age or older must apply to coverage offered under Subsection (b).</w:t>
            </w:r>
          </w:p>
          <w:p w:rsidR="00B86DB6" w14:paraId="29AFEBE2" w14:textId="77777777">
            <w:pPr>
              <w:jc w:val="both"/>
            </w:pPr>
            <w:r>
              <w:rPr>
                <w:u w:val="single"/>
              </w:rPr>
              <w:t>(d)  A standardized Plan A, Plan B, or Plan D Medicare supplement benefit plan offered under Subsection (b) must be offered at the same premium rate charged for the plan to an individual 65 years of age.  A premium rate for a Medicare supplement benefit plan offered under Subsection (b), other than Plan A, Plan B, or Plan D, may not exceed 200 percent of the premium rate charged for the same plan to an individual 65 years of age.</w:t>
            </w:r>
          </w:p>
          <w:p w:rsidR="00B86DB6" w14:paraId="5CF90807" w14:textId="77777777">
            <w:pPr>
              <w:jc w:val="both"/>
            </w:pPr>
            <w:r>
              <w:rPr>
                <w:u w:val="single"/>
              </w:rPr>
              <w:t xml:space="preserve">Sec. 1652.060.  ENROLLMENT PERIOD FOR CERTAIN INDIVIDUALS YOUNGER THAN 65.  (a)  In this section, </w:t>
            </w:r>
            <w:r>
              <w:rPr>
                <w:u w:val="single"/>
              </w:rPr>
              <w:t>"entity" means an entity that delivers or issues for delivery a Medicare supplement benefit plan in this state.</w:t>
            </w:r>
          </w:p>
          <w:p w:rsidR="00B86DB6" w14:paraId="58B5E6F5" w14:textId="77777777">
            <w:pPr>
              <w:jc w:val="both"/>
            </w:pPr>
            <w:r>
              <w:rPr>
                <w:u w:val="single"/>
              </w:rPr>
              <w:t>(b)  An individual eligible for coverage under a Medicare supplement benefit plan under Section 1652.059 may enroll any time during the six-month period beginning the first day of the first month the individual becomes enrolled for benefits under Medicare Part B.</w:t>
            </w:r>
          </w:p>
          <w:p w:rsidR="00B86DB6" w14:paraId="556A2CDB" w14:textId="77777777">
            <w:pPr>
              <w:jc w:val="both"/>
            </w:pPr>
            <w:r>
              <w:rPr>
                <w:u w:val="single"/>
              </w:rPr>
              <w:t>(c)  During an enrollment period, an entity may not, with respect to an applicant who is an individual described by Subsection (b):</w:t>
            </w:r>
          </w:p>
          <w:p w:rsidR="00B86DB6" w14:paraId="65479DF4" w14:textId="77777777">
            <w:pPr>
              <w:jc w:val="both"/>
            </w:pPr>
            <w:r>
              <w:rPr>
                <w:u w:val="single"/>
              </w:rPr>
              <w:t>(1)  deny or condition the issuance or effectiveness of a Medicare supplement benefit plan or certificate that the entity offers and is available for issuance in this state;</w:t>
            </w:r>
          </w:p>
          <w:p w:rsidR="00B86DB6" w14:paraId="07839606" w14:textId="77777777">
            <w:pPr>
              <w:jc w:val="both"/>
            </w:pPr>
            <w:r>
              <w:rPr>
                <w:u w:val="single"/>
              </w:rPr>
              <w:t>(2)  subject the applicant to medical underwriting or discriminate in the price of a Medicare supplement benefit plan or certificate because of the applicant's health status, claims experience, receipt of health care, or medical condition;</w:t>
            </w:r>
          </w:p>
          <w:p w:rsidR="00B86DB6" w14:paraId="5E1F2BBC" w14:textId="77777777">
            <w:pPr>
              <w:jc w:val="both"/>
            </w:pPr>
            <w:r>
              <w:rPr>
                <w:u w:val="single"/>
              </w:rPr>
              <w:t>(3)  impose a waiting period; or</w:t>
            </w:r>
          </w:p>
          <w:p w:rsidR="00B86DB6" w14:paraId="6CDDB70B" w14:textId="77777777">
            <w:pPr>
              <w:jc w:val="both"/>
            </w:pPr>
            <w:r>
              <w:rPr>
                <w:u w:val="single"/>
              </w:rPr>
              <w:t>(4)  impose a limitation or exclusion of benefits based on the applicant's preexisting condition.</w:t>
            </w:r>
          </w:p>
          <w:p w:rsidR="00B86DB6" w14:paraId="10C4027B" w14:textId="77777777">
            <w:pPr>
              <w:jc w:val="both"/>
            </w:pPr>
            <w:r>
              <w:rPr>
                <w:u w:val="single"/>
              </w:rPr>
              <w:t>(d)  The commissioner shall adopt rules as necessary to administer this section, including rules designating enrollment periods.</w:t>
            </w:r>
          </w:p>
          <w:p w:rsidR="00B86DB6" w14:paraId="4A9FE84C" w14:textId="77777777">
            <w:pPr>
              <w:jc w:val="both"/>
            </w:pPr>
          </w:p>
        </w:tc>
        <w:tc>
          <w:tcPr>
            <w:tcW w:w="6248" w:type="dxa"/>
          </w:tcPr>
          <w:p w:rsidR="00B86DB6" w14:paraId="739F8D9D" w14:textId="77777777">
            <w:pPr>
              <w:jc w:val="both"/>
            </w:pPr>
            <w:r>
              <w:t>SECTION 2.  Subchapter B, Chapter 1652, Insurance Code, is amended by adding Sections 1652.059 and 1652.060 to read as follows:</w:t>
            </w:r>
          </w:p>
          <w:p w:rsidR="00B86DB6" w14:paraId="4B08B05A" w14:textId="77777777">
            <w:pPr>
              <w:jc w:val="both"/>
            </w:pPr>
            <w:r>
              <w:rPr>
                <w:u w:val="single"/>
              </w:rPr>
              <w:t>Sec. 1652.059.  COVERAGE FOR CERTAIN INDIVIDUALS YOUNGER THAN 65.  (a)  In this section, "entity" means an entity that delivers or issues for delivery a Medicare supplement benefit plan in this state.</w:t>
            </w:r>
          </w:p>
          <w:p w:rsidR="00B86DB6" w14:paraId="27625153" w14:textId="77777777">
            <w:pPr>
              <w:jc w:val="both"/>
            </w:pPr>
            <w:r>
              <w:rPr>
                <w:u w:val="single"/>
              </w:rPr>
              <w:t>(b)  An entity that offers coverage under a Medicare supplement benefit plan to individuals 65 years of age or older must offer the same coverage to individuals younger than 65 years of age who are eligible for and enrolled in Medicare by reason of amyotrophic lateral sclerosis.</w:t>
            </w:r>
            <w:r>
              <w:t xml:space="preserve">  [FA1(1)]</w:t>
            </w:r>
          </w:p>
          <w:p w:rsidR="009A5DCC" w14:paraId="7B378C65" w14:textId="77777777">
            <w:pPr>
              <w:jc w:val="both"/>
              <w:rPr>
                <w:u w:val="single"/>
              </w:rPr>
            </w:pPr>
          </w:p>
          <w:p w:rsidR="00B86DB6" w14:paraId="01D6B4D3" w14:textId="1AE91782">
            <w:pPr>
              <w:jc w:val="both"/>
            </w:pPr>
            <w:r>
              <w:rPr>
                <w:u w:val="single"/>
              </w:rPr>
              <w:t>(c)  Except as otherwise provided by rules adopted under Section 1652.051, any benefit, protection, policy, or procedure applicable to coverage under a plan for an individual 65 years of age or older must apply to coverage offered under Subsection (b).</w:t>
            </w:r>
          </w:p>
          <w:p w:rsidR="00B86DB6" w14:paraId="24E3A3B3" w14:textId="77777777">
            <w:pPr>
              <w:jc w:val="both"/>
            </w:pPr>
            <w:r>
              <w:rPr>
                <w:u w:val="single"/>
              </w:rPr>
              <w:t>(d)  A standardized Plan A, Plan B, or Plan D Medicare supplement benefit plan offered under Subsection (b) must be offered at the same premium rate charged for the plan to an individual 65 years of age.  A premium rate for a Medicare supplement benefit plan offered under Subsection (b), other than Plan A, Plan B, or Plan D, may not exceed 200 percent of the premium rate charged for the same plan to an individual 65 years of age.</w:t>
            </w:r>
          </w:p>
          <w:p w:rsidR="00B86DB6" w14:paraId="4C0BC17A" w14:textId="77777777">
            <w:pPr>
              <w:jc w:val="both"/>
            </w:pPr>
            <w:r>
              <w:rPr>
                <w:u w:val="single"/>
              </w:rPr>
              <w:t xml:space="preserve">Sec. 1652.060.  ENROLLMENT PERIOD FOR CERTAIN INDIVIDUALS YOUNGER THAN 65.  (a)  In this section, </w:t>
            </w:r>
            <w:r>
              <w:rPr>
                <w:u w:val="single"/>
              </w:rPr>
              <w:t>"entity" means an entity that delivers or issues for delivery a Medicare supplement benefit plan in this state.</w:t>
            </w:r>
          </w:p>
          <w:p w:rsidR="00B86DB6" w14:paraId="7A0A3FAE" w14:textId="77777777">
            <w:pPr>
              <w:jc w:val="both"/>
            </w:pPr>
            <w:r>
              <w:rPr>
                <w:u w:val="single"/>
              </w:rPr>
              <w:t>(b)  An individual eligible for coverage under a Medicare supplement benefit plan under Section 1652.059 may enroll any time during the six-month period beginning the first day of the first month the individual becomes enrolled for benefits under Medicare Part B.</w:t>
            </w:r>
          </w:p>
          <w:p w:rsidR="00B86DB6" w14:paraId="7639F8A8" w14:textId="77777777">
            <w:pPr>
              <w:jc w:val="both"/>
            </w:pPr>
            <w:r>
              <w:rPr>
                <w:u w:val="single"/>
              </w:rPr>
              <w:t>(c)  During an enrollment period, an entity may not, with respect to an applicant who is an individual described by Subsection (b):</w:t>
            </w:r>
          </w:p>
          <w:p w:rsidR="00B86DB6" w14:paraId="29054E60" w14:textId="77777777">
            <w:pPr>
              <w:jc w:val="both"/>
            </w:pPr>
            <w:r>
              <w:rPr>
                <w:u w:val="single"/>
              </w:rPr>
              <w:t>(1)  deny or condition the issuance or effectiveness of a Medicare supplement benefit plan or certificate that the entity offers and is available for issuance in this state;</w:t>
            </w:r>
          </w:p>
          <w:p w:rsidR="00B86DB6" w14:paraId="4B9C90C4" w14:textId="77777777">
            <w:pPr>
              <w:jc w:val="both"/>
            </w:pPr>
            <w:r>
              <w:rPr>
                <w:u w:val="single"/>
              </w:rPr>
              <w:t>(2)  subject the applicant to medical underwriting or discriminate in the price of a Medicare supplement benefit plan or certificate because of the applicant's health status, claims experience, receipt of health care, or medical condition;</w:t>
            </w:r>
          </w:p>
          <w:p w:rsidR="00B86DB6" w14:paraId="506A8B84" w14:textId="77777777">
            <w:pPr>
              <w:jc w:val="both"/>
            </w:pPr>
            <w:r>
              <w:rPr>
                <w:u w:val="single"/>
              </w:rPr>
              <w:t>(3)  impose a waiting period; or</w:t>
            </w:r>
          </w:p>
          <w:p w:rsidR="00B86DB6" w14:paraId="22771867" w14:textId="77777777">
            <w:pPr>
              <w:jc w:val="both"/>
            </w:pPr>
            <w:r>
              <w:rPr>
                <w:u w:val="single"/>
              </w:rPr>
              <w:t>(4)  impose a limitation or exclusion of benefits based on the applicant's preexisting condition.</w:t>
            </w:r>
          </w:p>
          <w:p w:rsidR="00B86DB6" w14:paraId="4DEFEBE7" w14:textId="77777777">
            <w:pPr>
              <w:jc w:val="both"/>
            </w:pPr>
            <w:r>
              <w:rPr>
                <w:u w:val="single"/>
              </w:rPr>
              <w:t>(d)  The commissioner shall adopt rules as necessary to administer this section, including rules designating enrollment periods.</w:t>
            </w:r>
          </w:p>
          <w:p w:rsidR="00B86DB6" w14:paraId="0839D783" w14:textId="77777777">
            <w:pPr>
              <w:jc w:val="both"/>
            </w:pPr>
          </w:p>
        </w:tc>
        <w:tc>
          <w:tcPr>
            <w:tcW w:w="6244" w:type="dxa"/>
          </w:tcPr>
          <w:p w:rsidR="00B86DB6" w14:paraId="2E0D60DB" w14:textId="77777777">
            <w:pPr>
              <w:jc w:val="both"/>
            </w:pPr>
          </w:p>
        </w:tc>
      </w:tr>
      <w:tr w14:paraId="71C0B652" w14:textId="77777777" w:rsidTr="009A5DCC">
        <w:tblPrEx>
          <w:tblW w:w="4820" w:type="pct"/>
          <w:tblInd w:w="6" w:type="dxa"/>
          <w:tblLayout w:type="fixed"/>
          <w:tblCellMar>
            <w:left w:w="0" w:type="dxa"/>
            <w:bottom w:w="288" w:type="dxa"/>
            <w:right w:w="720" w:type="dxa"/>
          </w:tblCellMar>
          <w:tblLook w:val="01E0"/>
        </w:tblPrEx>
        <w:tc>
          <w:tcPr>
            <w:tcW w:w="6248" w:type="dxa"/>
          </w:tcPr>
          <w:p w:rsidR="00B86DB6" w14:paraId="69F71F6A" w14:textId="77777777">
            <w:pPr>
              <w:jc w:val="both"/>
            </w:pPr>
            <w:r>
              <w:t>SECTION 3.  The changes in law made by this Act apply only to a Medicare supplement benefit plan delivered, issued for delivery, or renewed on or after September 1, 2025.</w:t>
            </w:r>
          </w:p>
          <w:p w:rsidR="00B86DB6" w14:paraId="487D1AC5" w14:textId="77777777">
            <w:pPr>
              <w:jc w:val="both"/>
            </w:pPr>
          </w:p>
        </w:tc>
        <w:tc>
          <w:tcPr>
            <w:tcW w:w="6248" w:type="dxa"/>
          </w:tcPr>
          <w:p w:rsidR="00B86DB6" w14:paraId="0278DBAD" w14:textId="77777777">
            <w:pPr>
              <w:jc w:val="both"/>
            </w:pPr>
            <w:r>
              <w:t>SECTION 3. Same as House version.</w:t>
            </w:r>
          </w:p>
          <w:p w:rsidR="00B86DB6" w14:paraId="719022BC" w14:textId="77777777">
            <w:pPr>
              <w:jc w:val="both"/>
            </w:pPr>
          </w:p>
          <w:p w:rsidR="00B86DB6" w14:paraId="41916A8E" w14:textId="77777777">
            <w:pPr>
              <w:jc w:val="both"/>
            </w:pPr>
          </w:p>
        </w:tc>
        <w:tc>
          <w:tcPr>
            <w:tcW w:w="6244" w:type="dxa"/>
          </w:tcPr>
          <w:p w:rsidR="00B86DB6" w14:paraId="02B1957E" w14:textId="77777777">
            <w:pPr>
              <w:jc w:val="both"/>
            </w:pPr>
          </w:p>
        </w:tc>
      </w:tr>
      <w:tr w14:paraId="6082B7E4" w14:textId="77777777" w:rsidTr="009A5DCC">
        <w:tblPrEx>
          <w:tblW w:w="4820" w:type="pct"/>
          <w:tblInd w:w="6" w:type="dxa"/>
          <w:tblLayout w:type="fixed"/>
          <w:tblCellMar>
            <w:left w:w="0" w:type="dxa"/>
            <w:bottom w:w="288" w:type="dxa"/>
            <w:right w:w="720" w:type="dxa"/>
          </w:tblCellMar>
          <w:tblLook w:val="01E0"/>
        </w:tblPrEx>
        <w:tc>
          <w:tcPr>
            <w:tcW w:w="6248" w:type="dxa"/>
          </w:tcPr>
          <w:p w:rsidR="00B86DB6" w14:paraId="091F66CC" w14:textId="77777777">
            <w:pPr>
              <w:jc w:val="both"/>
            </w:pPr>
            <w:r>
              <w:t xml:space="preserve">SECTION 4.  In addition to other enrollment periods provided </w:t>
            </w:r>
            <w:r>
              <w:t xml:space="preserve">by law, an individual younger than 65 years of age and enrolled in Medicare Part B by reason of </w:t>
            </w:r>
            <w:r w:rsidRPr="009A5DCC">
              <w:rPr>
                <w:highlight w:val="lightGray"/>
              </w:rPr>
              <w:t>disability, end stage renal disease, or</w:t>
            </w:r>
            <w:r>
              <w:t xml:space="preserve"> amyotrophic lateral sclerosis on the effective date of this Act may apply for coverage under a Medicare supplement benefit plan:</w:t>
            </w:r>
          </w:p>
          <w:p w:rsidR="00B86DB6" w14:paraId="14B76605" w14:textId="77777777">
            <w:pPr>
              <w:jc w:val="both"/>
            </w:pPr>
            <w:r>
              <w:t xml:space="preserve">(1)  after </w:t>
            </w:r>
            <w:r w:rsidRPr="009A5DCC">
              <w:rPr>
                <w:highlight w:val="lightGray"/>
              </w:rPr>
              <w:t>August 31</w:t>
            </w:r>
            <w:r>
              <w:t xml:space="preserve">, 2025, and before </w:t>
            </w:r>
            <w:r w:rsidRPr="009A5DCC">
              <w:rPr>
                <w:highlight w:val="lightGray"/>
              </w:rPr>
              <w:t>March 2</w:t>
            </w:r>
            <w:r>
              <w:t>, 2026; or</w:t>
            </w:r>
          </w:p>
          <w:p w:rsidR="009A5DCC" w14:paraId="57DCA028" w14:textId="77777777">
            <w:pPr>
              <w:jc w:val="both"/>
            </w:pPr>
          </w:p>
          <w:p w:rsidR="00B86DB6" w14:paraId="5AD19359" w14:textId="23C501A3">
            <w:pPr>
              <w:jc w:val="both"/>
            </w:pPr>
            <w:r>
              <w:t>(2)  if the individual is unable to submit an application for coverage under the plan during the period described by Subdivision (1) of this section because the application is not available and the individual requested the application during that period, during a six-month period beginning on the date the application initially becomes available.</w:t>
            </w:r>
          </w:p>
          <w:p w:rsidR="00B86DB6" w14:paraId="350EACC0" w14:textId="77777777">
            <w:pPr>
              <w:jc w:val="both"/>
            </w:pPr>
          </w:p>
        </w:tc>
        <w:tc>
          <w:tcPr>
            <w:tcW w:w="6248" w:type="dxa"/>
          </w:tcPr>
          <w:p w:rsidR="009A5DCC" w:rsidP="009A5DCC" w14:paraId="56F60FA8" w14:textId="77777777">
            <w:pPr>
              <w:jc w:val="both"/>
            </w:pPr>
            <w:r>
              <w:t xml:space="preserve">SECTION 4.  In addition to other enrollment periods provided </w:t>
            </w:r>
            <w:r>
              <w:t>by law, an individual younger than 65 years of age and enrolled in Medicare Part B by reason of amyotrophic lateral sclerosis on the effective date of this Act may apply for coverage under a Medicare supplement benefit plan:  [FA1(2)]</w:t>
            </w:r>
          </w:p>
          <w:p w:rsidR="009A5DCC" w:rsidP="009A5DCC" w14:paraId="453BD772" w14:textId="77777777">
            <w:pPr>
              <w:jc w:val="both"/>
            </w:pPr>
          </w:p>
          <w:p w:rsidR="009A5DCC" w:rsidP="009A5DCC" w14:paraId="38C38C87" w14:textId="4326DEBD">
            <w:pPr>
              <w:jc w:val="both"/>
            </w:pPr>
            <w:r>
              <w:t xml:space="preserve">(1)  after </w:t>
            </w:r>
            <w:r w:rsidRPr="009A5DCC">
              <w:rPr>
                <w:highlight w:val="lightGray"/>
              </w:rPr>
              <w:t>December 1</w:t>
            </w:r>
            <w:r>
              <w:t xml:space="preserve">, 2025, and before </w:t>
            </w:r>
            <w:r w:rsidRPr="009A5DCC">
              <w:rPr>
                <w:highlight w:val="lightGray"/>
              </w:rPr>
              <w:t>June 1</w:t>
            </w:r>
            <w:r>
              <w:t>, 2026; or  [FA2]</w:t>
            </w:r>
          </w:p>
          <w:p w:rsidR="00B86DB6" w:rsidP="009A5DCC" w14:paraId="0F061F6A" w14:textId="40F2F17B">
            <w:pPr>
              <w:jc w:val="both"/>
            </w:pPr>
            <w:r>
              <w:t>(2)  if the individual is unable to submit an application for coverage under the plan during the period described by Subdivision (1) of this section because the application is not available and the individual requested the application during that period, during a six-month period beginning on the date the application initially becomes available.</w:t>
            </w:r>
          </w:p>
          <w:p w:rsidR="00B86DB6" w14:paraId="78EFDAEE" w14:textId="77777777">
            <w:pPr>
              <w:jc w:val="both"/>
            </w:pPr>
          </w:p>
        </w:tc>
        <w:tc>
          <w:tcPr>
            <w:tcW w:w="6244" w:type="dxa"/>
          </w:tcPr>
          <w:p w:rsidR="00B86DB6" w14:paraId="24AEC9DC" w14:textId="77777777">
            <w:pPr>
              <w:jc w:val="both"/>
            </w:pPr>
          </w:p>
        </w:tc>
      </w:tr>
      <w:tr w14:paraId="3AAD8DE1" w14:textId="77777777" w:rsidTr="009A5DCC">
        <w:tblPrEx>
          <w:tblW w:w="4820" w:type="pct"/>
          <w:tblInd w:w="6" w:type="dxa"/>
          <w:tblLayout w:type="fixed"/>
          <w:tblCellMar>
            <w:left w:w="0" w:type="dxa"/>
            <w:bottom w:w="288" w:type="dxa"/>
            <w:right w:w="720" w:type="dxa"/>
          </w:tblCellMar>
          <w:tblLook w:val="01E0"/>
        </w:tblPrEx>
        <w:tc>
          <w:tcPr>
            <w:tcW w:w="6248" w:type="dxa"/>
          </w:tcPr>
          <w:p w:rsidR="00B86DB6" w14:paraId="7F68E618" w14:textId="77777777">
            <w:pPr>
              <w:jc w:val="both"/>
            </w:pPr>
            <w:r>
              <w:t>SECTION 5.  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p w:rsidR="00B86DB6" w14:paraId="76501B28" w14:textId="77777777">
            <w:pPr>
              <w:jc w:val="both"/>
            </w:pPr>
          </w:p>
        </w:tc>
        <w:tc>
          <w:tcPr>
            <w:tcW w:w="6248" w:type="dxa"/>
          </w:tcPr>
          <w:p w:rsidR="00B86DB6" w14:paraId="7A2EB1DB" w14:textId="77777777">
            <w:pPr>
              <w:jc w:val="both"/>
            </w:pPr>
            <w:r>
              <w:t>SECTION 5. Same as House version.</w:t>
            </w:r>
          </w:p>
          <w:p w:rsidR="00B86DB6" w14:paraId="6C6A2727" w14:textId="77777777">
            <w:pPr>
              <w:jc w:val="both"/>
            </w:pPr>
          </w:p>
          <w:p w:rsidR="00B86DB6" w14:paraId="3F6CE21A" w14:textId="77777777">
            <w:pPr>
              <w:jc w:val="both"/>
            </w:pPr>
          </w:p>
        </w:tc>
        <w:tc>
          <w:tcPr>
            <w:tcW w:w="6244" w:type="dxa"/>
          </w:tcPr>
          <w:p w:rsidR="00B86DB6" w14:paraId="4F2ADEAE" w14:textId="77777777">
            <w:pPr>
              <w:jc w:val="both"/>
            </w:pPr>
          </w:p>
        </w:tc>
      </w:tr>
    </w:tbl>
    <w:p w:rsidR="00854B06" w14:paraId="2F28D452" w14:textId="77777777"/>
    <w:sectPr w:rsidSect="00B86DB6">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D67F2" w14:paraId="56EAE01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86DB6" w14:paraId="3B3E4C9E" w14:textId="0A77239F">
    <w:pPr>
      <w:tabs>
        <w:tab w:val="center" w:pos="9360"/>
        <w:tab w:val="right" w:pos="18720"/>
      </w:tabs>
    </w:pPr>
    <w:r>
      <w:fldChar w:fldCharType="begin"/>
    </w:r>
    <w:r>
      <w:instrText xml:space="preserve"> DOCPROPERTY  CCRF  \* MERGEFORMAT </w:instrText>
    </w:r>
    <w:r>
      <w:fldChar w:fldCharType="separate"/>
    </w:r>
    <w:r w:rsidR="004D67F2">
      <w:t xml:space="preserve"> </w:t>
    </w:r>
    <w:r w:rsidR="004D67F2">
      <w:fldChar w:fldCharType="end"/>
    </w:r>
    <w:r w:rsidR="00854B06">
      <w:tab/>
    </w:r>
    <w:r>
      <w:fldChar w:fldCharType="begin"/>
    </w:r>
    <w:r w:rsidR="00854B06">
      <w:instrText xml:space="preserve"> PAGE </w:instrText>
    </w:r>
    <w:r>
      <w:fldChar w:fldCharType="separate"/>
    </w:r>
    <w:r w:rsidR="00854B06">
      <w:t>3</w:t>
    </w:r>
    <w:r>
      <w:fldChar w:fldCharType="end"/>
    </w:r>
    <w:r w:rsidR="00854B06">
      <w:tab/>
    </w:r>
    <w:r>
      <w:fldChar w:fldCharType="begin"/>
    </w:r>
    <w:r>
      <w:instrText xml:space="preserve"> DOCPROPERTY  OTID  \* MERGEFORMAT </w:instrText>
    </w:r>
    <w:r>
      <w:fldChar w:fldCharType="separate"/>
    </w:r>
    <w:r w:rsidR="004D67F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D67F2" w14:paraId="5A9B33D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D67F2" w14:paraId="61477CE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D67F2" w14:paraId="4C05038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D67F2" w14:paraId="1E266D77"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DB6"/>
    <w:rsid w:val="004D67F2"/>
    <w:rsid w:val="00624282"/>
    <w:rsid w:val="00854B06"/>
    <w:rsid w:val="009314CF"/>
    <w:rsid w:val="009A3843"/>
    <w:rsid w:val="009A5DCC"/>
    <w:rsid w:val="00B86DB6"/>
    <w:rsid w:val="00F7149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A43AFA4E-3D4F-4EDA-BA0C-587C37270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DB6"/>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67F2"/>
    <w:pPr>
      <w:tabs>
        <w:tab w:val="center" w:pos="4680"/>
        <w:tab w:val="right" w:pos="9360"/>
      </w:tabs>
    </w:pPr>
  </w:style>
  <w:style w:type="character" w:customStyle="1" w:styleId="HeaderChar">
    <w:name w:val="Header Char"/>
    <w:basedOn w:val="DefaultParagraphFont"/>
    <w:link w:val="Header"/>
    <w:uiPriority w:val="99"/>
    <w:rsid w:val="004D67F2"/>
    <w:rPr>
      <w:sz w:val="22"/>
    </w:rPr>
  </w:style>
  <w:style w:type="paragraph" w:styleId="Footer">
    <w:name w:val="footer"/>
    <w:basedOn w:val="Normal"/>
    <w:link w:val="FooterChar"/>
    <w:uiPriority w:val="99"/>
    <w:unhideWhenUsed/>
    <w:rsid w:val="004D67F2"/>
    <w:pPr>
      <w:tabs>
        <w:tab w:val="center" w:pos="4680"/>
        <w:tab w:val="right" w:pos="9360"/>
      </w:tabs>
    </w:pPr>
  </w:style>
  <w:style w:type="character" w:customStyle="1" w:styleId="FooterChar">
    <w:name w:val="Footer Char"/>
    <w:basedOn w:val="DefaultParagraphFont"/>
    <w:link w:val="Footer"/>
    <w:uiPriority w:val="99"/>
    <w:rsid w:val="004D67F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SXS.dotm</Template>
  <TotalTime>0</TotalTime>
  <Pages>3</Pages>
  <Words>1189</Words>
  <Characters>6144</Characters>
  <Application>Microsoft Office Word</Application>
  <DocSecurity>0</DocSecurity>
  <Lines>170</Lines>
  <Paragraphs>44</Paragraphs>
  <ScaleCrop>false</ScaleCrop>
  <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HB2516-SAA</dc:title>
  <dc:creator>Charles McCarty</dc:creator>
  <cp:lastModifiedBy>Kelly Thomas</cp:lastModifiedBy>
  <cp:revision>2</cp:revision>
  <dcterms:created xsi:type="dcterms:W3CDTF">2025-05-27T14:48:00Z</dcterms:created>
  <dcterms:modified xsi:type="dcterms:W3CDTF">2025-05-27T14:48:00Z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