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6D39F82A" w14:textId="77777777" w:rsidTr="00D7713D">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C1784E" w14:paraId="4910DC65" w14:textId="77777777">
            <w:pPr>
              <w:ind w:left="650"/>
              <w:jc w:val="center"/>
            </w:pPr>
            <w:r>
              <w:rPr>
                <w:b/>
              </w:rPr>
              <w:t>House Bill  3073</w:t>
            </w:r>
          </w:p>
          <w:p w:rsidR="00C1784E" w14:paraId="26E3E037" w14:textId="77777777">
            <w:pPr>
              <w:ind w:left="650"/>
              <w:jc w:val="center"/>
            </w:pPr>
            <w:r>
              <w:t>Senate Amendments</w:t>
            </w:r>
          </w:p>
          <w:p w:rsidR="00C1784E" w14:paraId="0F1D6970" w14:textId="77777777">
            <w:pPr>
              <w:ind w:left="650"/>
              <w:jc w:val="center"/>
            </w:pPr>
            <w:r>
              <w:t>Section-by-Section Analysis</w:t>
            </w:r>
          </w:p>
          <w:p w:rsidR="00C1784E" w14:paraId="76629DCA" w14:textId="77777777">
            <w:pPr>
              <w:jc w:val="center"/>
            </w:pPr>
          </w:p>
        </w:tc>
      </w:tr>
      <w:tr w14:paraId="53AEA31C"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C1784E" w14:paraId="63F25645" w14:textId="77777777">
            <w:pPr>
              <w:jc w:val="center"/>
            </w:pPr>
            <w:r>
              <w:t>HOUSE VERSION</w:t>
            </w:r>
          </w:p>
        </w:tc>
        <w:tc>
          <w:tcPr>
            <w:tcW w:w="1667" w:type="pct"/>
            <w:tcMar>
              <w:bottom w:w="188" w:type="dxa"/>
              <w:right w:w="0" w:type="dxa"/>
            </w:tcMar>
          </w:tcPr>
          <w:p w:rsidR="00C1784E" w14:paraId="62E48E60" w14:textId="77777777">
            <w:pPr>
              <w:jc w:val="center"/>
            </w:pPr>
            <w:r>
              <w:t>SENATE VERSION (CS)</w:t>
            </w:r>
          </w:p>
        </w:tc>
        <w:tc>
          <w:tcPr>
            <w:tcW w:w="1667" w:type="pct"/>
            <w:tcMar>
              <w:bottom w:w="188" w:type="dxa"/>
              <w:right w:w="0" w:type="dxa"/>
            </w:tcMar>
          </w:tcPr>
          <w:p w:rsidR="00C1784E" w14:paraId="7536D5A2" w14:textId="77777777">
            <w:pPr>
              <w:jc w:val="center"/>
            </w:pPr>
            <w:r>
              <w:t>CONFERENCE</w:t>
            </w:r>
          </w:p>
        </w:tc>
      </w:tr>
      <w:tr w14:paraId="032A73CA" w14:textId="77777777">
        <w:tblPrEx>
          <w:tblW w:w="4820" w:type="pct"/>
          <w:tblInd w:w="6" w:type="dxa"/>
          <w:tblLayout w:type="fixed"/>
          <w:tblCellMar>
            <w:left w:w="0" w:type="dxa"/>
            <w:bottom w:w="288" w:type="dxa"/>
            <w:right w:w="720" w:type="dxa"/>
          </w:tblCellMar>
          <w:tblLook w:val="01E0"/>
        </w:tblPrEx>
        <w:tc>
          <w:tcPr>
            <w:tcW w:w="6473" w:type="dxa"/>
          </w:tcPr>
          <w:p w:rsidR="00C1784E" w14:paraId="6DB43B5E" w14:textId="77777777">
            <w:pPr>
              <w:jc w:val="both"/>
            </w:pPr>
            <w:r>
              <w:t>SECTION 1.  This Act may be cited as the Summer Willis Act.</w:t>
            </w:r>
          </w:p>
          <w:p w:rsidR="00C1784E" w14:paraId="365668F4" w14:textId="77777777">
            <w:pPr>
              <w:jc w:val="both"/>
            </w:pPr>
          </w:p>
        </w:tc>
        <w:tc>
          <w:tcPr>
            <w:tcW w:w="6480" w:type="dxa"/>
          </w:tcPr>
          <w:p w:rsidR="00C1784E" w14:paraId="2C053062" w14:textId="77777777">
            <w:pPr>
              <w:jc w:val="both"/>
            </w:pPr>
            <w:r>
              <w:t>SECTION 1. Same as House version.</w:t>
            </w:r>
          </w:p>
          <w:p w:rsidR="00C1784E" w14:paraId="5E1DEDFA" w14:textId="77777777">
            <w:pPr>
              <w:jc w:val="both"/>
            </w:pPr>
          </w:p>
          <w:p w:rsidR="00C1784E" w14:paraId="3D3F6983" w14:textId="77777777">
            <w:pPr>
              <w:jc w:val="both"/>
            </w:pPr>
          </w:p>
        </w:tc>
        <w:tc>
          <w:tcPr>
            <w:tcW w:w="5760" w:type="dxa"/>
          </w:tcPr>
          <w:p w:rsidR="00C1784E" w14:paraId="44BF8A53" w14:textId="77777777">
            <w:pPr>
              <w:jc w:val="both"/>
            </w:pPr>
          </w:p>
        </w:tc>
      </w:tr>
      <w:tr w14:paraId="3CB0EBA4" w14:textId="77777777">
        <w:tblPrEx>
          <w:tblW w:w="4820" w:type="pct"/>
          <w:tblInd w:w="6" w:type="dxa"/>
          <w:tblLayout w:type="fixed"/>
          <w:tblCellMar>
            <w:left w:w="0" w:type="dxa"/>
            <w:bottom w:w="288" w:type="dxa"/>
            <w:right w:w="720" w:type="dxa"/>
          </w:tblCellMar>
          <w:tblLook w:val="01E0"/>
        </w:tblPrEx>
        <w:tc>
          <w:tcPr>
            <w:tcW w:w="6473" w:type="dxa"/>
          </w:tcPr>
          <w:p w:rsidR="00C1784E" w14:paraId="0EA8B380" w14:textId="77777777">
            <w:pPr>
              <w:jc w:val="both"/>
            </w:pPr>
            <w:r>
              <w:t>SECTION 2.  Section 22.011(b), Penal Code, is amended to read as follows:</w:t>
            </w:r>
          </w:p>
          <w:p w:rsidR="00C1784E" w14:paraId="78FAE1EF" w14:textId="77777777">
            <w:pPr>
              <w:jc w:val="both"/>
            </w:pPr>
            <w:r>
              <w:t>(b)  A sexual assault under Subsection (a)(1) is without the consent of the other person if:</w:t>
            </w:r>
          </w:p>
          <w:p w:rsidR="00C1784E" w14:paraId="4BBA73A7" w14:textId="77777777">
            <w:pPr>
              <w:jc w:val="both"/>
            </w:pPr>
            <w:r>
              <w:t>(1)  the actor compels the other person to submit or participate by the use of physical force, violence, or coercion;</w:t>
            </w:r>
          </w:p>
          <w:p w:rsidR="00C1784E" w14:paraId="4AF3A1D0" w14:textId="77777777">
            <w:pPr>
              <w:jc w:val="both"/>
            </w:pPr>
            <w:r>
              <w:t>(2)  the actor compels the other person to submit or participate by threatening to use force or violence against the other person or to cause harm to the other person, and the other person believes that the actor has the present ability to execute the threat;</w:t>
            </w:r>
          </w:p>
          <w:p w:rsidR="00C1784E" w14:paraId="7F9381B9" w14:textId="77777777">
            <w:pPr>
              <w:jc w:val="both"/>
            </w:pPr>
            <w:r>
              <w:t xml:space="preserve">(3)  </w:t>
            </w:r>
            <w:r w:rsidRPr="008D677C">
              <w:rPr>
                <w:highlight w:val="lightGray"/>
              </w:rPr>
              <w:t>[</w:t>
            </w:r>
            <w:r w:rsidRPr="008D677C">
              <w:rPr>
                <w:strike/>
                <w:highlight w:val="lightGray"/>
              </w:rPr>
              <w:t>the other person has not consented and</w:t>
            </w:r>
            <w:r w:rsidRPr="008D677C">
              <w:rPr>
                <w:highlight w:val="lightGray"/>
              </w:rPr>
              <w:t>]</w:t>
            </w:r>
            <w:r>
              <w:t xml:space="preserve"> the actor knows the other person is unconscious</w:t>
            </w:r>
            <w:r w:rsidRPr="008D677C">
              <w:rPr>
                <w:highlight w:val="lightGray"/>
                <w:u w:val="single"/>
              </w:rPr>
              <w:t>,</w:t>
            </w:r>
            <w:r w:rsidRPr="008D677C">
              <w:rPr>
                <w:highlight w:val="lightGray"/>
              </w:rPr>
              <w:t xml:space="preserve"> [</w:t>
            </w:r>
            <w:r w:rsidRPr="008D677C">
              <w:rPr>
                <w:strike/>
                <w:highlight w:val="lightGray"/>
              </w:rPr>
              <w:t>or</w:t>
            </w:r>
            <w:r w:rsidRPr="008D677C">
              <w:rPr>
                <w:highlight w:val="lightGray"/>
              </w:rPr>
              <w:t>]</w:t>
            </w:r>
            <w:r>
              <w:t xml:space="preserve"> physically unable to resist</w:t>
            </w:r>
            <w:r w:rsidRPr="00D7713D">
              <w:rPr>
                <w:highlight w:val="lightGray"/>
                <w:u w:val="single"/>
              </w:rPr>
              <w:t>, or unaware that the sexual assault is occurring</w:t>
            </w:r>
            <w:r>
              <w:t>;</w:t>
            </w:r>
          </w:p>
          <w:p w:rsidR="00C1784E" w14:paraId="58E49C41" w14:textId="77777777">
            <w:pPr>
              <w:jc w:val="both"/>
            </w:pPr>
            <w:r>
              <w:t>(4)  the actor knows that as a result of mental disease or defect the other person is at the time of the sexual assault incapable either of appraising the nature of the act or of resisting it;</w:t>
            </w:r>
          </w:p>
          <w:p w:rsidR="00C1784E" w14:paraId="554B41CE" w14:textId="77777777">
            <w:pPr>
              <w:jc w:val="both"/>
            </w:pPr>
            <w:r>
              <w:t xml:space="preserve">(5)  </w:t>
            </w:r>
            <w:r w:rsidRPr="00D7713D">
              <w:rPr>
                <w:highlight w:val="lightGray"/>
                <w:u w:val="single"/>
              </w:rPr>
              <w:t xml:space="preserve">the actor knows the other person has withdrawn consent to the act and the actor persists in the </w:t>
            </w:r>
            <w:r w:rsidRPr="008D677C">
              <w:rPr>
                <w:highlight w:val="lightGray"/>
                <w:u w:val="single"/>
              </w:rPr>
              <w:t>act</w:t>
            </w:r>
            <w:r w:rsidRPr="008D677C">
              <w:rPr>
                <w:highlight w:val="lightGray"/>
              </w:rPr>
              <w:t xml:space="preserve"> [</w:t>
            </w:r>
            <w:r w:rsidRPr="008D677C">
              <w:rPr>
                <w:strike/>
                <w:highlight w:val="lightGray"/>
              </w:rPr>
              <w:t>the other person has not consented and the actor knows the other person is unaware that the sexual assault is occurring</w:t>
            </w:r>
            <w:r w:rsidRPr="008D677C">
              <w:rPr>
                <w:highlight w:val="lightGray"/>
              </w:rPr>
              <w:t>]</w:t>
            </w:r>
            <w:r>
              <w:t>;</w:t>
            </w:r>
          </w:p>
          <w:p w:rsidR="00C1784E" w14:paraId="43284DA8" w14:textId="77777777">
            <w:pPr>
              <w:jc w:val="both"/>
            </w:pPr>
            <w:r>
              <w:t xml:space="preserve">(6)  </w:t>
            </w:r>
            <w:r>
              <w:rPr>
                <w:u w:val="single"/>
              </w:rPr>
              <w:t xml:space="preserve">the actor knows </w:t>
            </w:r>
            <w:r w:rsidRPr="00D7713D">
              <w:rPr>
                <w:highlight w:val="lightGray"/>
                <w:u w:val="single"/>
              </w:rPr>
              <w:t>or reasonably should know</w:t>
            </w:r>
            <w:r>
              <w:rPr>
                <w:u w:val="single"/>
              </w:rPr>
              <w:t xml:space="preserve"> that the other person </w:t>
            </w:r>
            <w:r w:rsidRPr="00D7713D">
              <w:rPr>
                <w:highlight w:val="lightGray"/>
                <w:u w:val="single"/>
              </w:rPr>
              <w:t>cannot consent because of intoxication or impairment</w:t>
            </w:r>
            <w:r>
              <w:rPr>
                <w:u w:val="single"/>
              </w:rPr>
              <w:t xml:space="preserve"> by any substance</w:t>
            </w:r>
            <w:r>
              <w:t xml:space="preserve"> [</w:t>
            </w:r>
            <w:r>
              <w:rPr>
                <w:strike/>
              </w:rPr>
              <w:t>the actor has intentionally impaired the other person's power to appraise or control the other person's conduct by administering any substance without the other person's knowledge</w:t>
            </w:r>
            <w:r>
              <w:t>];</w:t>
            </w:r>
          </w:p>
          <w:p w:rsidR="00C1784E" w14:paraId="7C380D5B" w14:textId="77777777">
            <w:pPr>
              <w:jc w:val="both"/>
            </w:pPr>
            <w:r>
              <w:t xml:space="preserve">(7)  the actor compels the other person to submit or participate </w:t>
            </w:r>
            <w:r>
              <w:t>by threatening to use force or violence against any person, and the other person believes that the actor has the ability to execute the threat;</w:t>
            </w:r>
          </w:p>
          <w:p w:rsidR="00C1784E" w14:paraId="0D654869" w14:textId="77777777">
            <w:pPr>
              <w:jc w:val="both"/>
            </w:pPr>
            <w:r>
              <w:t>(8)  the actor is a public servant who coerces the other person to submit or participate;</w:t>
            </w:r>
          </w:p>
          <w:p w:rsidR="00C1784E" w14:paraId="01978A70" w14:textId="77777777">
            <w:pPr>
              <w:jc w:val="both"/>
            </w:pPr>
            <w:r>
              <w:t>(9)  the actor is a mental health services provider or a health care services provider who causes the other person, who is a patient or former patient of the actor, to submit or participate by exploiting the other person's emotional dependency on the actor;</w:t>
            </w:r>
          </w:p>
          <w:p w:rsidR="00C1784E" w14:paraId="2DA69732" w14:textId="77777777">
            <w:pPr>
              <w:jc w:val="both"/>
            </w:pPr>
            <w:r>
              <w:t>(10)  the actor is a clergyman who causes the other person to submit or participate by exploiting the other person's emotional dependency on the clergyman in the clergyman's professional character as spiritual adviser;</w:t>
            </w:r>
          </w:p>
          <w:p w:rsidR="00C1784E" w14:paraId="6B032EF5" w14:textId="77777777">
            <w:pPr>
              <w:jc w:val="both"/>
            </w:pPr>
            <w:r>
              <w:t>(11)  the actor is an employee of a facility where the other person is a resident, unless the employee and resident are formally or informally married to each other under Chapter 2, Family Code;</w:t>
            </w:r>
          </w:p>
          <w:p w:rsidR="00C1784E" w14:paraId="742D5184" w14:textId="77777777">
            <w:pPr>
              <w:jc w:val="both"/>
            </w:pPr>
            <w:r>
              <w:t>(12)  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C1784E" w14:paraId="099D3BC1" w14:textId="77777777">
            <w:pPr>
              <w:jc w:val="both"/>
            </w:pPr>
            <w:r>
              <w:t>(13)  the actor is a coach or tutor who causes the other person to submit or participate by using the actor's power or influence to exploit the other person's dependency on the actor; or</w:t>
            </w:r>
          </w:p>
          <w:p w:rsidR="00C1784E" w14:paraId="700A05E5" w14:textId="77777777">
            <w:pPr>
              <w:jc w:val="both"/>
            </w:pPr>
            <w:r>
              <w:t>(14)  the actor is a caregiver hired to assist the other person with activities of daily life and causes the other person to submit or participate by exploiting the other person's dependency on the actor.</w:t>
            </w:r>
          </w:p>
          <w:p w:rsidR="00C1784E" w14:paraId="4B911787" w14:textId="77777777">
            <w:pPr>
              <w:jc w:val="both"/>
            </w:pPr>
          </w:p>
        </w:tc>
        <w:tc>
          <w:tcPr>
            <w:tcW w:w="6480" w:type="dxa"/>
          </w:tcPr>
          <w:p w:rsidR="00C1784E" w14:paraId="18408145" w14:textId="77777777">
            <w:pPr>
              <w:jc w:val="both"/>
            </w:pPr>
            <w:r>
              <w:t>SECTION 2.  Section 22.011(b), Penal Code, is amended to read as follows:</w:t>
            </w:r>
          </w:p>
          <w:p w:rsidR="00C1784E" w14:paraId="7DABE4C4" w14:textId="77777777">
            <w:pPr>
              <w:jc w:val="both"/>
            </w:pPr>
            <w:r>
              <w:t>(b)  A sexual assault under Subsection (a)(1) is without the consent of the other person if:</w:t>
            </w:r>
          </w:p>
          <w:p w:rsidR="00C1784E" w14:paraId="467435F4" w14:textId="77777777">
            <w:pPr>
              <w:jc w:val="both"/>
            </w:pPr>
            <w:r>
              <w:t>(1)  the actor compels the other person to submit or participate by the use of physical force, violence, or coercion;</w:t>
            </w:r>
          </w:p>
          <w:p w:rsidR="00C1784E" w14:paraId="7346AA21" w14:textId="77777777">
            <w:pPr>
              <w:jc w:val="both"/>
            </w:pPr>
            <w:r>
              <w:t>(2)  the actor compels the other person to submit or participate by threatening to use force or violence against the other person or to cause harm to the other person, and the other person believes that the actor has the present ability to execute the threat;</w:t>
            </w:r>
          </w:p>
          <w:p w:rsidR="00C1784E" w14:paraId="78F9A1AE" w14:textId="77777777">
            <w:pPr>
              <w:jc w:val="both"/>
            </w:pPr>
            <w:r>
              <w:t xml:space="preserve">(3)  </w:t>
            </w:r>
            <w:r w:rsidRPr="008D677C">
              <w:rPr>
                <w:highlight w:val="lightGray"/>
              </w:rPr>
              <w:t>the other person has not consented and</w:t>
            </w:r>
            <w:r>
              <w:t xml:space="preserve"> the actor knows the other person is unconscious or physically unable to resist;</w:t>
            </w:r>
          </w:p>
          <w:p w:rsidR="00D7713D" w14:paraId="365F0E95" w14:textId="77777777">
            <w:pPr>
              <w:jc w:val="both"/>
            </w:pPr>
          </w:p>
          <w:p w:rsidR="00C1784E" w14:paraId="1BBC8D6B" w14:textId="74D1F98A">
            <w:pPr>
              <w:jc w:val="both"/>
            </w:pPr>
            <w:r>
              <w:t>(4)  the actor knows that as a result of mental disease or defect the other person is at the time of the sexual assault incapable either of appraising the nature of the act or of resisting it;</w:t>
            </w:r>
          </w:p>
          <w:p w:rsidR="00C1784E" w14:paraId="2B8A096E" w14:textId="77777777">
            <w:pPr>
              <w:jc w:val="both"/>
            </w:pPr>
            <w:r>
              <w:t xml:space="preserve">(5)   </w:t>
            </w:r>
            <w:r w:rsidRPr="008D677C">
              <w:rPr>
                <w:highlight w:val="lightGray"/>
              </w:rPr>
              <w:t>the other person has not consented and the actor knows the other person is unaware that the sexual assault is occurring</w:t>
            </w:r>
            <w:r>
              <w:t>;</w:t>
            </w:r>
          </w:p>
          <w:p w:rsidR="00D7713D" w14:paraId="7C9CF56C" w14:textId="77777777">
            <w:pPr>
              <w:jc w:val="both"/>
            </w:pPr>
          </w:p>
          <w:p w:rsidR="00C1784E" w14:paraId="69988658" w14:textId="77BF2FE2">
            <w:pPr>
              <w:jc w:val="both"/>
            </w:pPr>
            <w:r>
              <w:t xml:space="preserve">(6)  </w:t>
            </w:r>
            <w:r>
              <w:rPr>
                <w:u w:val="single"/>
              </w:rPr>
              <w:t xml:space="preserve">the actor knows that the </w:t>
            </w:r>
            <w:r w:rsidRPr="008D677C">
              <w:rPr>
                <w:u w:val="single"/>
              </w:rPr>
              <w:t xml:space="preserve">other person </w:t>
            </w:r>
            <w:r w:rsidRPr="00D7713D">
              <w:rPr>
                <w:highlight w:val="lightGray"/>
                <w:u w:val="single"/>
              </w:rPr>
              <w:t>is intoxicated or impaired</w:t>
            </w:r>
            <w:r>
              <w:rPr>
                <w:u w:val="single"/>
              </w:rPr>
              <w:t xml:space="preserve"> by any substance </w:t>
            </w:r>
            <w:r w:rsidRPr="00D7713D">
              <w:rPr>
                <w:highlight w:val="lightGray"/>
                <w:u w:val="single"/>
              </w:rPr>
              <w:t>to the extent that the other person is incapable of consenting</w:t>
            </w:r>
            <w:r>
              <w:t xml:space="preserve"> [</w:t>
            </w:r>
            <w:r>
              <w:rPr>
                <w:strike/>
              </w:rPr>
              <w:t>the actor has intentionally impaired the other person's power to appraise or control the other person's conduct by administering any substance without the other person's knowledge</w:t>
            </w:r>
            <w:r>
              <w:t>];</w:t>
            </w:r>
          </w:p>
          <w:p w:rsidR="00C1784E" w14:paraId="1B66BF74" w14:textId="77777777">
            <w:pPr>
              <w:jc w:val="both"/>
            </w:pPr>
            <w:r>
              <w:t xml:space="preserve">(7)  the actor compels the other person to submit or participate </w:t>
            </w:r>
            <w:r>
              <w:t>by threatening to use force or violence against any person, and the other person believes that the actor has the ability to execute the threat;</w:t>
            </w:r>
          </w:p>
          <w:p w:rsidR="00C1784E" w14:paraId="4FCB84AE" w14:textId="77777777">
            <w:pPr>
              <w:jc w:val="both"/>
            </w:pPr>
            <w:r>
              <w:t>(8)  the actor is a public servant who coerces the other person to submit or participate;</w:t>
            </w:r>
          </w:p>
          <w:p w:rsidR="00C1784E" w14:paraId="4DADE240" w14:textId="77777777">
            <w:pPr>
              <w:jc w:val="both"/>
            </w:pPr>
            <w:r>
              <w:t>(9)  the actor is a mental health services provider or a health care services provider who causes the other person, who is a patient or former patient of the actor, to submit or participate by exploiting the other person's emotional dependency on the actor;</w:t>
            </w:r>
          </w:p>
          <w:p w:rsidR="00C1784E" w14:paraId="22CD7F54" w14:textId="77777777">
            <w:pPr>
              <w:jc w:val="both"/>
            </w:pPr>
            <w:r>
              <w:t>(10)  the actor is a clergyman who causes the other person to submit or participate by exploiting the other person's emotional dependency on the clergyman in the clergyman's professional character as spiritual adviser;</w:t>
            </w:r>
          </w:p>
          <w:p w:rsidR="00C1784E" w14:paraId="409A7755" w14:textId="77777777">
            <w:pPr>
              <w:jc w:val="both"/>
            </w:pPr>
            <w:r>
              <w:t>(11)  the actor is an employee of a facility where the other person is a resident, unless the employee and resident are formally or informally married to each other under Chapter 2, Family Code;</w:t>
            </w:r>
          </w:p>
          <w:p w:rsidR="00C1784E" w14:paraId="00E0CC1A" w14:textId="77777777">
            <w:pPr>
              <w:jc w:val="both"/>
            </w:pPr>
            <w:r>
              <w:t>(12)  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C1784E" w14:paraId="4B02BB37" w14:textId="77777777">
            <w:pPr>
              <w:jc w:val="both"/>
            </w:pPr>
            <w:r>
              <w:t>(13)  the actor is a coach or tutor who causes the other person to submit or participate by using the actor's power or influence to exploit the other person's dependency on the actor; or</w:t>
            </w:r>
          </w:p>
          <w:p w:rsidR="00C1784E" w14:paraId="42D5088B" w14:textId="77777777">
            <w:pPr>
              <w:jc w:val="both"/>
            </w:pPr>
            <w:r>
              <w:t>(14)  the actor is a caregiver hired to assist the other person with activities of daily life and causes the other person to submit or participate by exploiting the other person's dependency on the actor.</w:t>
            </w:r>
          </w:p>
          <w:p w:rsidR="00C1784E" w14:paraId="01B5A074" w14:textId="77777777">
            <w:pPr>
              <w:jc w:val="both"/>
            </w:pPr>
          </w:p>
        </w:tc>
        <w:tc>
          <w:tcPr>
            <w:tcW w:w="5760" w:type="dxa"/>
          </w:tcPr>
          <w:p w:rsidR="00C1784E" w14:paraId="2FD94175" w14:textId="77777777">
            <w:pPr>
              <w:jc w:val="both"/>
            </w:pPr>
          </w:p>
        </w:tc>
      </w:tr>
      <w:tr w14:paraId="5AC1F3B3" w14:textId="77777777">
        <w:tblPrEx>
          <w:tblW w:w="4820" w:type="pct"/>
          <w:tblInd w:w="6" w:type="dxa"/>
          <w:tblLayout w:type="fixed"/>
          <w:tblCellMar>
            <w:left w:w="0" w:type="dxa"/>
            <w:bottom w:w="288" w:type="dxa"/>
            <w:right w:w="720" w:type="dxa"/>
          </w:tblCellMar>
          <w:tblLook w:val="01E0"/>
        </w:tblPrEx>
        <w:tc>
          <w:tcPr>
            <w:tcW w:w="6473" w:type="dxa"/>
          </w:tcPr>
          <w:p w:rsidR="00C1784E" w14:paraId="6A4CBDA7" w14:textId="77777777">
            <w:pPr>
              <w:jc w:val="both"/>
            </w:pPr>
            <w:r>
              <w:t>SECTION 3.  Section 22.011(c), Penal Code, is amended by adding Subdivision (1-a) to read as follows:</w:t>
            </w:r>
          </w:p>
          <w:p w:rsidR="00C1784E" w14:paraId="1D14B006" w14:textId="77777777">
            <w:pPr>
              <w:jc w:val="both"/>
            </w:pPr>
            <w:r>
              <w:rPr>
                <w:u w:val="single"/>
              </w:rPr>
              <w:t>(1-a) "Consent" has the meaning assigned by Section 1.07.</w:t>
            </w:r>
          </w:p>
          <w:p w:rsidR="00C1784E" w14:paraId="3DB18F6D" w14:textId="77777777">
            <w:pPr>
              <w:jc w:val="both"/>
            </w:pPr>
          </w:p>
        </w:tc>
        <w:tc>
          <w:tcPr>
            <w:tcW w:w="6480" w:type="dxa"/>
          </w:tcPr>
          <w:p w:rsidR="00C1784E" w14:paraId="5FD819BE" w14:textId="77777777">
            <w:pPr>
              <w:jc w:val="both"/>
            </w:pPr>
            <w:r>
              <w:t>SECTION 3. Same as House version.</w:t>
            </w:r>
          </w:p>
          <w:p w:rsidR="00C1784E" w14:paraId="0060835E" w14:textId="77777777">
            <w:pPr>
              <w:jc w:val="both"/>
            </w:pPr>
          </w:p>
          <w:p w:rsidR="00C1784E" w14:paraId="119C4B7F" w14:textId="77777777">
            <w:pPr>
              <w:jc w:val="both"/>
            </w:pPr>
          </w:p>
        </w:tc>
        <w:tc>
          <w:tcPr>
            <w:tcW w:w="5760" w:type="dxa"/>
          </w:tcPr>
          <w:p w:rsidR="00C1784E" w14:paraId="34091045" w14:textId="77777777">
            <w:pPr>
              <w:jc w:val="both"/>
            </w:pPr>
          </w:p>
        </w:tc>
      </w:tr>
      <w:tr w14:paraId="5ACEB313" w14:textId="77777777">
        <w:tblPrEx>
          <w:tblW w:w="4820" w:type="pct"/>
          <w:tblInd w:w="6" w:type="dxa"/>
          <w:tblLayout w:type="fixed"/>
          <w:tblCellMar>
            <w:left w:w="0" w:type="dxa"/>
            <w:bottom w:w="288" w:type="dxa"/>
            <w:right w:w="720" w:type="dxa"/>
          </w:tblCellMar>
          <w:tblLook w:val="01E0"/>
        </w:tblPrEx>
        <w:tc>
          <w:tcPr>
            <w:tcW w:w="6473" w:type="dxa"/>
          </w:tcPr>
          <w:p w:rsidR="00C1784E" w14:paraId="5DAEF4C4" w14:textId="77777777">
            <w:pPr>
              <w:jc w:val="both"/>
            </w:pPr>
            <w:r>
              <w:t>SECTION 4.  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C1784E" w14:paraId="1BF0DBC5" w14:textId="77777777">
            <w:pPr>
              <w:jc w:val="both"/>
            </w:pPr>
          </w:p>
        </w:tc>
        <w:tc>
          <w:tcPr>
            <w:tcW w:w="6480" w:type="dxa"/>
          </w:tcPr>
          <w:p w:rsidR="00C1784E" w14:paraId="022BE2DF" w14:textId="77777777">
            <w:pPr>
              <w:jc w:val="both"/>
            </w:pPr>
            <w:r>
              <w:t>SECTION 4. Same as House version.</w:t>
            </w:r>
          </w:p>
          <w:p w:rsidR="00C1784E" w14:paraId="68AB315E" w14:textId="77777777">
            <w:pPr>
              <w:jc w:val="both"/>
            </w:pPr>
          </w:p>
          <w:p w:rsidR="00C1784E" w14:paraId="0A91D160" w14:textId="77777777">
            <w:pPr>
              <w:jc w:val="both"/>
            </w:pPr>
          </w:p>
        </w:tc>
        <w:tc>
          <w:tcPr>
            <w:tcW w:w="5760" w:type="dxa"/>
          </w:tcPr>
          <w:p w:rsidR="00C1784E" w14:paraId="1719FB69" w14:textId="77777777">
            <w:pPr>
              <w:jc w:val="both"/>
            </w:pPr>
          </w:p>
        </w:tc>
      </w:tr>
      <w:tr w14:paraId="620DC075" w14:textId="77777777">
        <w:tblPrEx>
          <w:tblW w:w="4820" w:type="pct"/>
          <w:tblInd w:w="6" w:type="dxa"/>
          <w:tblLayout w:type="fixed"/>
          <w:tblCellMar>
            <w:left w:w="0" w:type="dxa"/>
            <w:bottom w:w="288" w:type="dxa"/>
            <w:right w:w="720" w:type="dxa"/>
          </w:tblCellMar>
          <w:tblLook w:val="01E0"/>
        </w:tblPrEx>
        <w:tc>
          <w:tcPr>
            <w:tcW w:w="6473" w:type="dxa"/>
          </w:tcPr>
          <w:p w:rsidR="00C1784E" w14:paraId="46B8C821" w14:textId="77777777">
            <w:pPr>
              <w:jc w:val="both"/>
            </w:pPr>
            <w:r>
              <w:t>SECTION 5.  This Act takes effect September 1, 2025.</w:t>
            </w:r>
          </w:p>
          <w:p w:rsidR="00C1784E" w14:paraId="39E266DE" w14:textId="77777777">
            <w:pPr>
              <w:jc w:val="both"/>
            </w:pPr>
          </w:p>
        </w:tc>
        <w:tc>
          <w:tcPr>
            <w:tcW w:w="6480" w:type="dxa"/>
          </w:tcPr>
          <w:p w:rsidR="00C1784E" w14:paraId="3D911410" w14:textId="77777777">
            <w:pPr>
              <w:jc w:val="both"/>
            </w:pPr>
            <w:r>
              <w:t>SECTION 5. Same as House version.</w:t>
            </w:r>
          </w:p>
          <w:p w:rsidR="00C1784E" w14:paraId="01BB733F" w14:textId="77777777">
            <w:pPr>
              <w:jc w:val="both"/>
            </w:pPr>
          </w:p>
          <w:p w:rsidR="00C1784E" w14:paraId="0F40EBAA" w14:textId="77777777">
            <w:pPr>
              <w:jc w:val="both"/>
            </w:pPr>
          </w:p>
        </w:tc>
        <w:tc>
          <w:tcPr>
            <w:tcW w:w="5760" w:type="dxa"/>
          </w:tcPr>
          <w:p w:rsidR="00C1784E" w14:paraId="489D9FF1" w14:textId="77777777">
            <w:pPr>
              <w:jc w:val="both"/>
            </w:pPr>
          </w:p>
        </w:tc>
      </w:tr>
    </w:tbl>
    <w:p w:rsidR="00313E7D" w14:paraId="449D3586" w14:textId="77777777"/>
    <w:sectPr w:rsidSect="00C1784E">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2383" w14:paraId="06120E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784E" w14:paraId="2848EA81" w14:textId="0F7CAA65">
    <w:pPr>
      <w:tabs>
        <w:tab w:val="center" w:pos="9360"/>
        <w:tab w:val="right" w:pos="18720"/>
      </w:tabs>
    </w:pPr>
    <w:r>
      <w:fldChar w:fldCharType="begin"/>
    </w:r>
    <w:r>
      <w:instrText xml:space="preserve"> DOCPROPERTY  CCRF  \* MERGEFORMAT </w:instrText>
    </w:r>
    <w:r>
      <w:fldChar w:fldCharType="separate"/>
    </w:r>
    <w:r w:rsidR="008D677C">
      <w:t xml:space="preserve"> </w:t>
    </w:r>
    <w:r w:rsidR="008D677C">
      <w:fldChar w:fldCharType="end"/>
    </w:r>
    <w:r w:rsidR="00313E7D">
      <w:tab/>
    </w:r>
    <w:r>
      <w:fldChar w:fldCharType="begin"/>
    </w:r>
    <w:r w:rsidR="00313E7D">
      <w:instrText xml:space="preserve"> PAGE </w:instrText>
    </w:r>
    <w:r>
      <w:fldChar w:fldCharType="separate"/>
    </w:r>
    <w:r w:rsidR="00313E7D">
      <w:t>3</w:t>
    </w:r>
    <w:r>
      <w:fldChar w:fldCharType="end"/>
    </w:r>
    <w:r w:rsidR="00313E7D">
      <w:tab/>
    </w:r>
    <w:r>
      <w:fldChar w:fldCharType="begin"/>
    </w:r>
    <w:r>
      <w:instrText xml:space="preserve"> DOCPROPERTY  OTID  \* MERGEFORMAT </w:instrText>
    </w:r>
    <w:r>
      <w:fldChar w:fldCharType="separate"/>
    </w:r>
    <w:r w:rsidR="008D677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2383" w14:paraId="4BD019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2383" w14:paraId="72B7E87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2383" w14:paraId="23B4782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2383" w14:paraId="481E890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84E"/>
    <w:rsid w:val="00313E7D"/>
    <w:rsid w:val="004D27AE"/>
    <w:rsid w:val="008D677C"/>
    <w:rsid w:val="00C1784E"/>
    <w:rsid w:val="00D147FB"/>
    <w:rsid w:val="00D7713D"/>
    <w:rsid w:val="00EB2383"/>
    <w:rsid w:val="00F741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EA6ABBF5-FEFC-49A1-A90E-5ED73ACE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84E"/>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383"/>
    <w:pPr>
      <w:tabs>
        <w:tab w:val="center" w:pos="4680"/>
        <w:tab w:val="right" w:pos="9360"/>
      </w:tabs>
    </w:pPr>
  </w:style>
  <w:style w:type="character" w:customStyle="1" w:styleId="HeaderChar">
    <w:name w:val="Header Char"/>
    <w:basedOn w:val="DefaultParagraphFont"/>
    <w:link w:val="Header"/>
    <w:uiPriority w:val="99"/>
    <w:rsid w:val="00EB2383"/>
    <w:rPr>
      <w:sz w:val="22"/>
    </w:rPr>
  </w:style>
  <w:style w:type="paragraph" w:styleId="Footer">
    <w:name w:val="footer"/>
    <w:basedOn w:val="Normal"/>
    <w:link w:val="FooterChar"/>
    <w:uiPriority w:val="99"/>
    <w:unhideWhenUsed/>
    <w:rsid w:val="00EB2383"/>
    <w:pPr>
      <w:tabs>
        <w:tab w:val="center" w:pos="4680"/>
        <w:tab w:val="right" w:pos="9360"/>
      </w:tabs>
    </w:pPr>
  </w:style>
  <w:style w:type="character" w:customStyle="1" w:styleId="FooterChar">
    <w:name w:val="Footer Char"/>
    <w:basedOn w:val="DefaultParagraphFont"/>
    <w:link w:val="Footer"/>
    <w:uiPriority w:val="99"/>
    <w:rsid w:val="00EB238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3</Pages>
  <Words>1202</Words>
  <Characters>5828</Characters>
  <Application>Microsoft Office Word</Application>
  <DocSecurity>0</DocSecurity>
  <Lines>160</Lines>
  <Paragraphs>47</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HB3073-SAA</dc:title>
  <dc:creator>Laura Pires</dc:creator>
  <cp:lastModifiedBy>Emma Johnson</cp:lastModifiedBy>
  <cp:revision>2</cp:revision>
  <dcterms:created xsi:type="dcterms:W3CDTF">2025-05-29T02:55:00Z</dcterms:created>
  <dcterms:modified xsi:type="dcterms:W3CDTF">2025-05-29T02:55:00Z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